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80"/>
      </w:pPr>
      <w:r>
        <w:t xml:space="preserve">Design Your Focus Groups</w:t>
      </w:r>
    </w:p>
    <w:p>
      <w:pPr>
        <w:spacing w:after="120"/>
      </w:pPr>
      <w:r>
        <w:t xml:space="preserve">A practical guide to planning and running psychosocial focus groups after your Prior Work survey. Adapt everything to your context - these are starting points, not a script.</w:t>
      </w:r>
    </w:p>
    <w:p>
      <w:pPr>
        <w:pStyle w:val="Heading2"/>
      </w:pPr>
      <w:r>
        <w:t xml:space="preserve">Why focus groups</w:t>
      </w:r>
    </w:p>
    <w:p>
      <w:pPr>
        <w:spacing w:after="120"/>
      </w:pPr>
      <w:r>
        <w:t xml:space="preserve">Survey data tells you what is elevated, and the model shows how factors interact to affect health and wellbeing. Focus groups tell you why - the conditions, practices, and decisions behind the pattern. Elevated role overload, for instance, could mean insufficient headcount, poor work allocation, unclear priorities, or a mismatch between the role and the work. Each has a different solution, and structured consultation is how you tell them apart. It also builds ownership: workers involved in identifying a hazard are more likely to support the actions that follow.</w:t>
      </w:r>
    </w:p>
    <w:p>
      <w:pPr>
        <w:pStyle w:val="Heading2"/>
      </w:pPr>
      <w:r>
        <w:t xml:space="preserve">Recruitment and sampling</w:t>
      </w:r>
    </w:p>
    <w:p>
      <w:pPr>
        <w:spacing w:after="120"/>
      </w:pPr>
      <w:r>
        <w:t xml:space="preserve">Who you invite shapes what you hear.</w:t>
      </w:r>
    </w:p>
    <w:p>
      <w:pPr>
        <w:pStyle w:val="ListParagraph"/>
        <w:numPr>
          <w:ilvl w:val="0"/>
          <w:numId w:val="2"/>
        </w:numPr>
        <w:spacing w:after="80"/>
      </w:pPr>
      <w:r>
        <w:rPr>
          <w:b/>
          <w:bCs/>
        </w:rPr>
        <w:t xml:space="preserve">Aim for 6-8 participants per group. </w:t>
      </w:r>
      <w:r>
        <w:t xml:space="preserve">Under 5 loses diversity; over 10 and quieter voices drop out. 6-8 is the sweet spot.</w:t>
      </w:r>
    </w:p>
    <w:p>
      <w:pPr>
        <w:pStyle w:val="ListParagraph"/>
        <w:numPr>
          <w:ilvl w:val="0"/>
          <w:numId w:val="2"/>
        </w:numPr>
        <w:spacing w:after="80"/>
      </w:pPr>
      <w:r>
        <w:rPr>
          <w:b/>
          <w:bCs/>
        </w:rPr>
        <w:t xml:space="preserve">Avoid pure self-selection. </w:t>
      </w:r>
      <w:r>
        <w:t xml:space="preserve">Volunteers can bias results if disengaged or aggrieved. Where you can, sample across role level, team, and tenure.</w:t>
      </w:r>
    </w:p>
    <w:p>
      <w:pPr>
        <w:pStyle w:val="ListParagraph"/>
        <w:numPr>
          <w:ilvl w:val="0"/>
          <w:numId w:val="2"/>
        </w:numPr>
        <w:spacing w:after="80"/>
      </w:pPr>
      <w:r>
        <w:rPr>
          <w:b/>
          <w:bCs/>
        </w:rPr>
        <w:t xml:space="preserve">Keep groups relatively homogeneous. </w:t>
      </w:r>
      <w:r>
        <w:t xml:space="preserve">Don't mix hierarchy levels - junior staff speak up less with their manager in the room. Similar roles or levels work best together.</w:t>
      </w:r>
    </w:p>
    <w:p>
      <w:pPr>
        <w:pStyle w:val="ListParagraph"/>
        <w:numPr>
          <w:ilvl w:val="0"/>
          <w:numId w:val="2"/>
        </w:numPr>
        <w:spacing w:after="80"/>
      </w:pPr>
      <w:r>
        <w:rPr>
          <w:b/>
          <w:bCs/>
        </w:rPr>
        <w:t xml:space="preserve">How many groups do you need? </w:t>
      </w:r>
      <w:r>
        <w:t xml:space="preserve">No fixed formula. It depends on workforce size and spread, whether the hazard profile varies by team, and whether groups have elected HSRs. Enough to hear systematic themes, not one team's experience.</w:t>
      </w:r>
    </w:p>
    <w:p>
      <w:pPr>
        <w:pStyle w:val="ListParagraph"/>
        <w:numPr>
          <w:ilvl w:val="0"/>
          <w:numId w:val="2"/>
        </w:numPr>
        <w:spacing w:after="80"/>
      </w:pPr>
      <w:r>
        <w:rPr>
          <w:b/>
          <w:bCs/>
        </w:rPr>
        <w:t xml:space="preserve">Note representativeness limits. </w:t>
      </w:r>
      <w:r>
        <w:t xml:space="preserve">If you run only one group or attendance is low, say so in the analysis. Findings describe conditions, not prevalence.</w:t>
      </w:r>
    </w:p>
    <w:p>
      <w:pPr>
        <w:pStyle w:val="Heading2"/>
      </w:pPr>
      <w:r>
        <w:t xml:space="preserve">Before you start</w:t>
      </w:r>
    </w:p>
    <w:p>
      <w:pPr>
        <w:pStyle w:val="ListParagraph"/>
        <w:numPr>
          <w:ilvl w:val="0"/>
          <w:numId w:val="2"/>
        </w:numPr>
        <w:spacing w:after="80"/>
      </w:pPr>
      <w:r>
        <w:rPr>
          <w:b/>
          <w:bCs/>
        </w:rPr>
        <w:t xml:space="preserve">Share the survey findings first. </w:t>
      </w:r>
      <w:r>
        <w:t xml:space="preserve">Brief participants on the data before the session; people engage more usefully when they know what you found and why you are asking. The focus group template generated alongside your report highlights the priority factors - use that as your agenda starting point.</w:t>
      </w:r>
    </w:p>
    <w:p>
      <w:pPr>
        <w:pStyle w:val="ListParagraph"/>
        <w:numPr>
          <w:ilvl w:val="0"/>
          <w:numId w:val="2"/>
        </w:numPr>
        <w:spacing w:after="80"/>
      </w:pPr>
      <w:r>
        <w:rPr>
          <w:b/>
          <w:bCs/>
        </w:rPr>
        <w:t xml:space="preserve">Use your LMS or a booking tool. </w:t>
      </w:r>
      <w:r>
        <w:t xml:space="preserve">Manual invite coordination is one of the biggest logistical barriers. Most LMS platforms (Cornerstone, SAP SuccessFactors, TalentLMS, Canvas, Moodle) have session booking - timeslots as events, capped at group size, self-registered. Without an LMS, Microsoft Bookings, Calendly, or a form with radio-button timeslots works too.</w:t>
      </w:r>
    </w:p>
    <w:p>
      <w:pPr>
        <w:pStyle w:val="ListParagraph"/>
        <w:numPr>
          <w:ilvl w:val="0"/>
          <w:numId w:val="2"/>
        </w:numPr>
        <w:spacing w:after="80"/>
      </w:pPr>
      <w:r>
        <w:rPr>
          <w:b/>
          <w:bCs/>
        </w:rPr>
        <w:t xml:space="preserve">Agree how responses will be used. </w:t>
      </w:r>
      <w:r>
        <w:t xml:space="preserve">Confirm what is recorded, how it is attributed (themes only, no individual quotes), and who sees the notes. Set this at the session start, not just on the invite.</w:t>
      </w:r>
    </w:p>
    <w:p>
      <w:pPr>
        <w:pStyle w:val="ListParagraph"/>
        <w:numPr>
          <w:ilvl w:val="0"/>
          <w:numId w:val="2"/>
        </w:numPr>
        <w:spacing w:after="80"/>
      </w:pPr>
      <w:r>
        <w:rPr>
          <w:b/>
          <w:bCs/>
        </w:rPr>
        <w:t xml:space="preserve">Consider AI transcription for notes. </w:t>
      </w:r>
      <w:r>
        <w:t xml:space="preserve">Facilitating and taking meaningful notes at once is hard. AI transcription (Teams, Otter.ai, Fireflies) frees you to focus on the room. Get consent before recording, be clear on storage and access, and treat AI summaries as a starting point - they misattribute speakers and miss nuance. Anyone uncomfortable with recording should still be able to attend.</w:t>
      </w:r>
    </w:p>
    <w:p>
      <w:pPr>
        <w:pStyle w:val="Heading2"/>
      </w:pPr>
      <w:r>
        <w:t xml:space="preserve">Internal or external facilitator?</w:t>
      </w:r>
    </w:p>
    <w:p>
      <w:pPr>
        <w:spacing w:after="120"/>
      </w:pPr>
      <w:r>
        <w:t xml:space="preserve">A judgement call based on your circumstances:</w:t>
      </w:r>
    </w:p>
    <w:p>
      <w:pPr>
        <w:pStyle w:val="ListParagraph"/>
        <w:numPr>
          <w:ilvl w:val="0"/>
          <w:numId w:val="2"/>
        </w:numPr>
        <w:spacing w:after="80"/>
      </w:pPr>
      <w:r>
        <w:rPr>
          <w:b/>
          <w:bCs/>
        </w:rPr>
        <w:t xml:space="preserve">Open and honest feedback. </w:t>
      </w:r>
      <w:r>
        <w:t xml:space="preserve">If the survey flagged concerns close to the facilitator (leadership trust, management support), participants may be less candid internally. An external facilitator removes that dynamic.</w:t>
      </w:r>
    </w:p>
    <w:p>
      <w:pPr>
        <w:pStyle w:val="ListParagraph"/>
        <w:numPr>
          <w:ilvl w:val="0"/>
          <w:numId w:val="2"/>
        </w:numPr>
        <w:spacing w:after="80"/>
      </w:pPr>
      <w:r>
        <w:rPr>
          <w:b/>
          <w:bCs/>
        </w:rPr>
        <w:t xml:space="preserve">Seriousness of the issues. </w:t>
      </w:r>
      <w:r>
        <w:t xml:space="preserve">If results suggest bullying, harassment, or significant interpersonal conflict, an external facilitator experienced in sensitive conversations is worth it.</w:t>
      </w:r>
    </w:p>
    <w:p>
      <w:pPr>
        <w:pStyle w:val="ListParagraph"/>
        <w:numPr>
          <w:ilvl w:val="0"/>
          <w:numId w:val="2"/>
        </w:numPr>
        <w:spacing w:after="80"/>
      </w:pPr>
      <w:r>
        <w:rPr>
          <w:b/>
          <w:bCs/>
        </w:rPr>
        <w:t xml:space="preserve">Availability, time, and cost. </w:t>
      </w:r>
      <w:r>
        <w:t xml:space="preserve">An internal HR or P&amp;C professional outside the group's reporting line can run effective groups - often the practical choice at scale.</w:t>
      </w:r>
    </w:p>
    <w:p>
      <w:pPr>
        <w:spacing w:after="120" w:before="80"/>
      </w:pPr>
      <w:r>
        <w:t xml:space="preserve">Practical note: Prior Work has no licence fees, so resources that would have gone to data analysis can fund a professional facilitator instead.</w:t>
      </w:r>
    </w:p>
    <w:p>
      <w:pPr>
        <w:pStyle w:val="Heading2"/>
      </w:pPr>
      <w:r>
        <w:t xml:space="preserve">Session structure (90 minutes)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2300"/>
        <w:gridCol w:w="5860"/>
      </w:tblGrid>
      <w:tr>
        <w:tc>
          <w:tcPr>
            <w:tcW w:type="dxa" w:w="1200"/>
            <w:tcBorders>
              <w:top w:val="single" w:color="CCCCCC" w:sz="1"/>
              <w:left w:val="single" w:color="CCCCCC" w:sz="1"/>
              <w:bottom w:val="single" w:color="CCCCCC" w:sz="1"/>
              <w:right w:val="single" w:color="CCCCCC" w:sz="1"/>
            </w:tcBorders>
            <w:shd w:fill="E8F0F1" w:val="clear"/>
            <w:tcMar>
              <w:top w:type="dxa" w:w="80"/>
              <w:left w:type="dxa" w:w="120"/>
              <w:bottom w:type="dxa" w:w="80"/>
              <w:right w:type="dxa" w:w="120"/>
            </w:tcMar>
          </w:tcPr>
          <w:p>
            <w:r>
              <w:rPr>
                <w:b/>
                <w:bCs/>
                <w:sz w:val="20"/>
                <w:szCs w:val="20"/>
              </w:rPr>
              <w:t xml:space="preserve">Time</w:t>
            </w:r>
          </w:p>
        </w:tc>
        <w:tc>
          <w:tcPr>
            <w:tcW w:type="dxa" w:w="2300"/>
            <w:tcBorders>
              <w:top w:val="single" w:color="CCCCCC" w:sz="1"/>
              <w:left w:val="single" w:color="CCCCCC" w:sz="1"/>
              <w:bottom w:val="single" w:color="CCCCCC" w:sz="1"/>
              <w:right w:val="single" w:color="CCCCCC" w:sz="1"/>
            </w:tcBorders>
            <w:shd w:fill="E8F0F1" w:val="clear"/>
            <w:tcMar>
              <w:top w:type="dxa" w:w="80"/>
              <w:left w:type="dxa" w:w="120"/>
              <w:bottom w:type="dxa" w:w="80"/>
              <w:right w:type="dxa" w:w="120"/>
            </w:tcMar>
          </w:tcPr>
          <w:p>
            <w:r>
              <w:rPr>
                <w:b/>
                <w:bCs/>
                <w:sz w:val="20"/>
                <w:szCs w:val="20"/>
              </w:rPr>
              <w:t xml:space="preserve">Segment</w:t>
            </w:r>
          </w:p>
        </w:tc>
        <w:tc>
          <w:tcPr>
            <w:tcW w:type="dxa" w:w="5860"/>
            <w:tcBorders>
              <w:top w:val="single" w:color="CCCCCC" w:sz="1"/>
              <w:left w:val="single" w:color="CCCCCC" w:sz="1"/>
              <w:bottom w:val="single" w:color="CCCCCC" w:sz="1"/>
              <w:right w:val="single" w:color="CCCCCC" w:sz="1"/>
            </w:tcBorders>
            <w:shd w:fill="E8F0F1" w:val="clear"/>
            <w:tcMar>
              <w:top w:type="dxa" w:w="80"/>
              <w:left w:type="dxa" w:w="120"/>
              <w:bottom w:type="dxa" w:w="80"/>
              <w:right w:type="dxa" w:w="120"/>
            </w:tcMar>
          </w:tcPr>
          <w:p>
            <w:r>
              <w:rPr>
                <w:b/>
                <w:bCs/>
                <w:sz w:val="20"/>
                <w:szCs w:val="20"/>
              </w:rPr>
              <w:t xml:space="preserve">What to cover</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0-10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Welcome and ground rules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Purpose, how notes will be used, confidentiality, no right or wrong answers. Cover what will and won't be shared with management.</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10-20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Survey findings overview</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Share the 2-3 priority hazards. Invite reactions - "Does this match what you experience?" rather than "Do you agree?"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20-50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Contextual inquiry</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For each hazard: "Tell us about a time when [hazard] affected your work. What contributed to it?" Probe for specific conditions, not generalisations.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50-70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Contributing factors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What makes [hazard] better or worse? What is within the team's control? What needs management action? What has been tried before?</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70-85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Priorities and suggestions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"If you could change one thing that would make the biggest difference, what would it be?" Open-ended; don't anchor to existing solutions.</w:t>
            </w:r>
          </w:p>
        </w:tc>
      </w:tr>
      <w:tr>
        <w:tc>
          <w:tcPr>
            <w:tcW w:type="dxa" w:w="12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85-90 min</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Close and next steps</w:t>
            </w:r>
          </w:p>
        </w:tc>
        <w:tc>
          <w:tcPr>
            <w:tcW w:type="dxa" w:w="58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b w:val="false"/>
                <w:bCs w:val="false"/>
                <w:sz w:val="20"/>
                <w:szCs w:val="20"/>
              </w:rPr>
              <w:t xml:space="preserve">What happens with the discussion, when participants will hear back, and thanks. Signpost the next step so people feel the process moving.</w:t>
            </w:r>
          </w:p>
        </w:tc>
      </w:tr>
    </w:tbl>
    <w:p>
      <w:pPr>
        <w:spacing w:after="40"/>
      </w:pPr>
      <w:r>
        <w:t xml:space="preserve"/>
      </w:r>
    </w:p>
    <w:p>
      <w:pPr>
        <w:pStyle w:val="Heading2"/>
      </w:pPr>
      <w:r>
        <w:t xml:space="preserve">Inquiry questions by hazard</w:t>
      </w:r>
    </w:p>
    <w:p>
      <w:pPr>
        <w:spacing w:after="120"/>
      </w:pPr>
      <w:r>
        <w:t xml:space="preserve">Starting points for the contextual-inquiry segment. Adapt to the priority hazards in your own results.</w:t>
      </w:r>
    </w:p>
    <w:p>
      <w:pPr>
        <w:spacing w:after="60" w:before="120"/>
      </w:pPr>
      <w:r>
        <w:rPr>
          <w:b/>
          <w:bCs/>
        </w:rPr>
        <w:t xml:space="preserve">Role demands (overload, ambiguity, conflict)</w:t>
      </w:r>
    </w:p>
    <w:p>
      <w:pPr>
        <w:pStyle w:val="ListParagraph"/>
        <w:numPr>
          <w:ilvl w:val="0"/>
          <w:numId w:val="2"/>
        </w:numPr>
        <w:spacing w:after="80"/>
      </w:pPr>
      <w:r>
        <w:t xml:space="preserve">When does work feel unmanageable? What is usually happening at those times?</w:t>
      </w:r>
    </w:p>
    <w:p>
      <w:pPr>
        <w:pStyle w:val="ListParagraph"/>
        <w:numPr>
          <w:ilvl w:val="0"/>
          <w:numId w:val="2"/>
        </w:numPr>
        <w:spacing w:after="80"/>
      </w:pPr>
      <w:r>
        <w:t xml:space="preserve">Are there things you are asked to do that conflict with each other, or with how you think the work should be done?</w:t>
      </w:r>
    </w:p>
    <w:p>
      <w:pPr>
        <w:pStyle w:val="ListParagraph"/>
        <w:numPr>
          <w:ilvl w:val="0"/>
          <w:numId w:val="2"/>
        </w:numPr>
        <w:spacing w:after="80"/>
      </w:pPr>
      <w:r>
        <w:t xml:space="preserve">Is it clear what success looks like in your role? If not, what is missing?</w:t>
      </w:r>
    </w:p>
    <w:p>
      <w:pPr>
        <w:spacing w:after="60" w:before="120"/>
      </w:pPr>
      <w:r>
        <w:rPr>
          <w:b/>
          <w:bCs/>
        </w:rPr>
        <w:t xml:space="preserve">Job control</w:t>
      </w:r>
    </w:p>
    <w:p>
      <w:pPr>
        <w:pStyle w:val="ListParagraph"/>
        <w:numPr>
          <w:ilvl w:val="0"/>
          <w:numId w:val="2"/>
        </w:numPr>
        <w:spacing w:after="80"/>
      </w:pPr>
      <w:r>
        <w:t xml:space="preserve">To what extent do you feel you can make decisions about how you do your work?</w:t>
      </w:r>
    </w:p>
    <w:p>
      <w:pPr>
        <w:pStyle w:val="ListParagraph"/>
        <w:numPr>
          <w:ilvl w:val="0"/>
          <w:numId w:val="2"/>
        </w:numPr>
        <w:spacing w:after="80"/>
      </w:pPr>
      <w:r>
        <w:t xml:space="preserve">Are there aspects of your job where you feel you have little say? What are they?</w:t>
      </w:r>
    </w:p>
    <w:p>
      <w:pPr>
        <w:pStyle w:val="ListParagraph"/>
        <w:numPr>
          <w:ilvl w:val="0"/>
          <w:numId w:val="2"/>
        </w:numPr>
        <w:spacing w:after="80"/>
      </w:pPr>
      <w:r>
        <w:t xml:space="preserve">When you raise concerns or suggestions about how things are done, what happens?</w:t>
      </w:r>
    </w:p>
    <w:p>
      <w:pPr>
        <w:spacing w:after="60" w:before="120"/>
      </w:pPr>
      <w:r>
        <w:rPr>
          <w:b/>
          <w:bCs/>
        </w:rPr>
        <w:t xml:space="preserve">Support (supervisor, co-worker)</w:t>
      </w:r>
    </w:p>
    <w:p>
      <w:pPr>
        <w:pStyle w:val="ListParagraph"/>
        <w:numPr>
          <w:ilvl w:val="0"/>
          <w:numId w:val="2"/>
        </w:numPr>
        <w:spacing w:after="80"/>
      </w:pPr>
      <w:r>
        <w:t xml:space="preserve">When you are under pressure or struggling with something, where do you go for help?</w:t>
      </w:r>
    </w:p>
    <w:p>
      <w:pPr>
        <w:pStyle w:val="ListParagraph"/>
        <w:numPr>
          <w:ilvl w:val="0"/>
          <w:numId w:val="2"/>
        </w:numPr>
        <w:spacing w:after="80"/>
      </w:pPr>
      <w:r>
        <w:t xml:space="preserve">How does your manager respond when you raise a problem? What would 'good support' look like?</w:t>
      </w:r>
    </w:p>
    <w:p>
      <w:pPr>
        <w:pStyle w:val="ListParagraph"/>
        <w:numPr>
          <w:ilvl w:val="0"/>
          <w:numId w:val="2"/>
        </w:numPr>
        <w:spacing w:after="80"/>
      </w:pPr>
      <w:r>
        <w:t xml:space="preserve">How would you describe the level of support within your immediate team?</w:t>
      </w:r>
    </w:p>
    <w:p>
      <w:pPr>
        <w:spacing w:after="60" w:before="120"/>
      </w:pPr>
      <w:r>
        <w:rPr>
          <w:b/>
          <w:bCs/>
        </w:rPr>
        <w:t xml:space="preserve">Recognition and fairness</w:t>
      </w:r>
    </w:p>
    <w:p>
      <w:pPr>
        <w:pStyle w:val="ListParagraph"/>
        <w:numPr>
          <w:ilvl w:val="0"/>
          <w:numId w:val="2"/>
        </w:numPr>
        <w:spacing w:after="80"/>
      </w:pPr>
      <w:r>
        <w:t xml:space="preserve">Do you feel that good work is noticed and acknowledged here? Can you give an example?</w:t>
      </w:r>
    </w:p>
    <w:p>
      <w:pPr>
        <w:pStyle w:val="ListParagraph"/>
        <w:numPr>
          <w:ilvl w:val="0"/>
          <w:numId w:val="2"/>
        </w:numPr>
        <w:spacing w:after="80"/>
      </w:pPr>
      <w:r>
        <w:t xml:space="preserve">When decisions are made that affect your team, do you feel they are made fairly? What makes the difference?</w:t>
      </w:r>
    </w:p>
    <w:p>
      <w:pPr>
        <w:pStyle w:val="ListParagraph"/>
        <w:numPr>
          <w:ilvl w:val="0"/>
          <w:numId w:val="2"/>
        </w:numPr>
        <w:spacing w:after="80"/>
      </w:pPr>
      <w:r>
        <w:t xml:space="preserve">Are there situations where people feel the rules are applied differently to different people?</w:t>
      </w:r>
    </w:p>
    <w:p>
      <w:pPr>
        <w:pStyle w:val="Heading2"/>
      </w:pPr>
      <w:r>
        <w:t xml:space="preserve">Analysing the findings</w:t>
      </w:r>
    </w:p>
    <w:p>
      <w:pPr>
        <w:spacing w:after="120"/>
      </w:pPr>
      <w:r>
        <w:t xml:space="preserve">After each session, write a brief summary within 48 hours, while recall is fresh: the main themes, the specific conditions contributing to each hazard, and any suggestions the group made.</w:t>
      </w:r>
    </w:p>
    <w:p>
      <w:pPr>
        <w:spacing w:after="120"/>
      </w:pPr>
      <w:r>
        <w:t xml:space="preserve">Look for convergence (themes that recur across groups) and divergence (hazards specific to particular teams). Convergent themes point to systemic action; divergent themes usually indicate local management practices to address at team level.</w:t>
      </w:r>
    </w:p>
    <w:p>
      <w:pPr>
        <w:pStyle w:val="Heading2"/>
      </w:pPr>
      <w:r>
        <w:t xml:space="preserve">Other ways to gather the same information</w:t>
      </w:r>
    </w:p>
    <w:p>
      <w:pPr>
        <w:spacing w:after="120"/>
      </w:pPr>
      <w:r>
        <w:t xml:space="preserve">Focus groups are one method. Some situations call for something different, or a combination.</w:t>
      </w:r>
    </w:p>
    <w:p>
      <w:pPr>
        <w:pStyle w:val="ListParagraph"/>
        <w:numPr>
          <w:ilvl w:val="0"/>
          <w:numId w:val="2"/>
        </w:numPr>
        <w:spacing w:after="80"/>
      </w:pPr>
      <w:r>
        <w:rPr>
          <w:b/>
          <w:bCs/>
        </w:rPr>
        <w:t xml:space="preserve">1-on-1 confidential interviews. </w:t>
      </w:r>
      <w:r>
        <w:t xml:space="preserve">When issues are sensitive or interpersonal, or group dynamics might prevent candour. More depth and better for sensitive disclosures, but more facilitator time. Useful as a follow-up when a focus group surfaces a theme that needs exploring.</w:t>
      </w:r>
    </w:p>
    <w:p>
      <w:pPr>
        <w:pStyle w:val="ListParagraph"/>
        <w:numPr>
          <w:ilvl w:val="0"/>
          <w:numId w:val="2"/>
        </w:numPr>
        <w:spacing w:after="80"/>
      </w:pPr>
      <w:r>
        <w:rPr>
          <w:b/>
          <w:bCs/>
        </w:rPr>
        <w:t xml:space="preserve">Small team meetings (8 or fewer). </w:t>
      </w:r>
      <w:r>
        <w:t xml:space="preserve">When the team is small enough that a focus group is effectively a full-team meeting. Convenient and less formal, but less anonymous - works where trust exists and the direct leader is not in the room.</w:t>
      </w:r>
    </w:p>
    <w:p>
      <w:pPr>
        <w:pStyle w:val="ListParagraph"/>
        <w:numPr>
          <w:ilvl w:val="0"/>
          <w:numId w:val="2"/>
        </w:numPr>
        <w:spacing w:after="80"/>
      </w:pPr>
      <w:r>
        <w:rPr>
          <w:b/>
          <w:bCs/>
        </w:rPr>
        <w:t xml:space="preserve">Anonymous written or digital input. </w:t>
      </w:r>
      <w:r>
        <w:t xml:space="preserve">For distributed, shift-based, or non-attending workforces. Low barrier and fully anonymous, but you lose conversational depth (follow-ups, clarification, cross-comments). Miro, anonymous Google Forms, or a suggestion box. Supplementary, not a substitute.</w:t>
      </w:r>
    </w:p>
    <w:p>
      <w:pPr>
        <w:pStyle w:val="ListParagraph"/>
        <w:numPr>
          <w:ilvl w:val="0"/>
          <w:numId w:val="2"/>
        </w:numPr>
        <w:spacing w:after="80"/>
      </w:pPr>
      <w:r>
        <w:rPr>
          <w:b/>
          <w:bCs/>
        </w:rPr>
        <w:t xml:space="preserve">Hybrid approach. </w:t>
      </w:r>
      <w:r>
        <w:t xml:space="preserve">Focus groups for priority hazards, then 1-on-1 follow-ups for themes that need more exploration. More resource-intensive, but the most complete picture. Survey = what; focus group = why; 1-on-1 = how serious.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888888"/>
        <w:sz w:val="18"/>
        <w:szCs w:val="18"/>
      </w:rPr>
      <w:t xml:space="preserve">priorwork.au  -  Design your focus groups  -  page </w:t>
    </w:r>
    <w:r>
      <w:rPr>
        <w:color w:val="888888"/>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40"/>
      <w:outlineLvl w:val="0"/>
    </w:pPr>
    <w:rPr>
      <w:rFonts w:ascii="Arial" w:cs="Arial" w:eastAsia="Arial" w:hAnsi="Arial"/>
      <w:b/>
      <w:bCs/>
      <w:color w:val="1F6F78"/>
      <w:sz w:val="32"/>
      <w:szCs w:val="32"/>
    </w:rPr>
  </w:style>
  <w:style w:type="paragraph" w:styleId="Heading2">
    <w:name w:val="Heading 2"/>
    <w:basedOn w:val="Normal"/>
    <w:next w:val="Normal"/>
    <w:qFormat/>
    <w:pPr>
      <w:spacing w:after="100" w:before="220"/>
      <w:outlineLvl w:val="1"/>
    </w:pPr>
    <w:rPr>
      <w:rFonts w:ascii="Arial" w:cs="Arial" w:eastAsia="Arial" w:hAnsi="Arial"/>
      <w:b/>
      <w:bCs/>
      <w:color w:val="222222"/>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2026-05-29T23:57:05.921Z</dcterms:created>
  <dcterms:modified xsi:type="dcterms:W3CDTF">2026-05-29T23:57:05.921Z</dcterms:modified>
</cp:coreProperties>
</file>

<file path=docProps/custom.xml><?xml version="1.0" encoding="utf-8"?>
<Properties xmlns="http://schemas.openxmlformats.org/officeDocument/2006/custom-properties" xmlns:vt="http://schemas.openxmlformats.org/officeDocument/2006/docPropsVTypes"/>
</file>