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none"/>
          <w:left w:val="none"/>
          <w:bottom w:val="none"/>
          <w:right w:val="none"/>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EFF6FF" w:val="clear"/>
            <w:tcMar>
              <w:top w:type="dxa" w:w="120"/>
              <w:left w:type="dxa" w:w="160"/>
              <w:bottom w:type="dxa" w:w="120"/>
              <w:right w:type="dxa" w:w="160"/>
            </w:tcMar>
          </w:tcPr>
          <w:p>
            <w:pPr>
              <w:spacing w:after="60"/>
            </w:pPr>
            <w:r>
              <w:rPr>
                <w:rFonts w:ascii="Arial" w:cs="Arial" w:eastAsia="Arial" w:hAnsi="Arial"/>
                <w:b/>
                <w:bCs/>
                <w:caps/>
                <w:color w:val="64748B"/>
                <w:sz w:val="20"/>
                <w:szCs w:val="20"/>
              </w:rPr>
              <w:t xml:space="preserve">PSYCHOSOCIAL RISK — ACTION PLAN</w:t>
            </w:r>
          </w:p>
          <w:p>
            <w:pPr>
              <w:spacing w:after="0"/>
            </w:pPr>
            <w:r>
              <w:rPr>
                <w:rFonts w:ascii="Arial" w:cs="Arial" w:eastAsia="Arial" w:hAnsi="Arial"/>
                <w:b/>
                <w:bCs/>
                <w:color w:val="1E3A5F"/>
                <w:sz w:val="26"/>
                <w:szCs w:val="26"/>
              </w:rPr>
              <w:t xml:space="preserve">[Organisation / Team / Division]</w:t>
            </w:r>
          </w:p>
        </w:tc>
      </w:tr>
    </w:tbl>
    <w:p>
      <w:pPr>
        <w:spacing w:after="80"/>
      </w:pPr>
      <w:r>
        <w:t xml:space="preserve"/>
      </w:r>
    </w:p>
    <w:tbl>
      <w:tblPr>
        <w:tblW w:type="dxa" w:w="9638"/>
        <w:tblBorders>
          <w:top w:val="none"/>
          <w:left w:val="none"/>
          <w:bottom w:val="none"/>
          <w:right w:val="none"/>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8FAFC" w:val="clear"/>
            <w:tcMar>
              <w:top w:type="dxa" w:w="120"/>
              <w:left w:type="dxa" w:w="160"/>
              <w:bottom w:type="dxa" w:w="120"/>
              <w:right w:type="dxa" w:w="160"/>
            </w:tcMar>
          </w:tcPr>
          <w:p>
            <w:pPr>
              <w:spacing w:after="60"/>
            </w:pPr>
            <w:r>
              <w:rPr>
                <w:rFonts w:ascii="Arial" w:cs="Arial" w:eastAsia="Arial" w:hAnsi="Arial"/>
                <w:b/>
                <w:bCs/>
                <w:color w:val="64748B"/>
                <w:sz w:val="20"/>
                <w:szCs w:val="20"/>
              </w:rPr>
              <w:t xml:space="preserve">Survey period: </w:t>
            </w:r>
            <w:r>
              <w:rPr>
                <w:rFonts w:ascii="Arial" w:cs="Arial" w:eastAsia="Arial" w:hAnsi="Arial"/>
                <w:color w:val="1E293B"/>
                <w:sz w:val="20"/>
                <w:szCs w:val="20"/>
              </w:rPr>
              <w:t xml:space="preserve">[Date range]</w:t>
            </w:r>
            <w:r>
              <w:rPr>
                <w:rFonts w:ascii="Arial" w:cs="Arial" w:eastAsia="Arial" w:hAnsi="Arial"/>
                <w:b/>
                <w:bCs/>
                <w:color w:val="64748B"/>
                <w:sz w:val="20"/>
                <w:szCs w:val="20"/>
              </w:rPr>
              <w:t xml:space="preserve">     Plan approved: </w:t>
            </w:r>
            <w:r>
              <w:rPr>
                <w:rFonts w:ascii="Arial" w:cs="Arial" w:eastAsia="Arial" w:hAnsi="Arial"/>
                <w:color w:val="1E293B"/>
                <w:sz w:val="20"/>
                <w:szCs w:val="20"/>
              </w:rPr>
              <w:t xml:space="preserve">[Date]</w:t>
            </w:r>
          </w:p>
          <w:p>
            <w:pPr>
              <w:spacing w:after="60"/>
            </w:pPr>
            <w:r>
              <w:rPr>
                <w:rFonts w:ascii="Arial" w:cs="Arial" w:eastAsia="Arial" w:hAnsi="Arial"/>
                <w:b/>
                <w:bCs/>
                <w:color w:val="64748B"/>
                <w:sz w:val="20"/>
                <w:szCs w:val="20"/>
              </w:rPr>
              <w:t xml:space="preserve">Plan owner: </w:t>
            </w:r>
            <w:r>
              <w:rPr>
                <w:rFonts w:ascii="Arial" w:cs="Arial" w:eastAsia="Arial" w:hAnsi="Arial"/>
                <w:color w:val="1E293B"/>
                <w:sz w:val="20"/>
                <w:szCs w:val="20"/>
              </w:rPr>
              <w:t xml:space="preserve">[Name, role]</w:t>
            </w:r>
            <w:r>
              <w:rPr>
                <w:rFonts w:ascii="Arial" w:cs="Arial" w:eastAsia="Arial" w:hAnsi="Arial"/>
                <w:b/>
                <w:bCs/>
                <w:color w:val="64748B"/>
                <w:sz w:val="20"/>
                <w:szCs w:val="20"/>
              </w:rPr>
              <w:t xml:space="preserve">     Next review: </w:t>
            </w:r>
            <w:r>
              <w:rPr>
                <w:rFonts w:ascii="Arial" w:cs="Arial" w:eastAsia="Arial" w:hAnsi="Arial"/>
                <w:color w:val="1E293B"/>
                <w:sz w:val="20"/>
                <w:szCs w:val="20"/>
              </w:rPr>
              <w:t xml:space="preserve">[90-day review date]</w:t>
            </w:r>
          </w:p>
          <w:p>
            <w:pPr>
              <w:spacing w:after="0"/>
            </w:pPr>
            <w:r>
              <w:rPr>
                <w:rFonts w:ascii="Arial" w:cs="Arial" w:eastAsia="Arial" w:hAnsi="Arial"/>
                <w:b/>
                <w:bCs/>
                <w:color w:val="64748B"/>
                <w:sz w:val="20"/>
                <w:szCs w:val="20"/>
              </w:rPr>
              <w:t xml:space="preserve">Priority hazards: </w:t>
            </w:r>
            <w:r>
              <w:rPr>
                <w:rFonts w:ascii="Arial" w:cs="Arial" w:eastAsia="Arial" w:hAnsi="Arial"/>
                <w:color w:val="1E293B"/>
                <w:sz w:val="20"/>
                <w:szCs w:val="20"/>
              </w:rPr>
              <w:t xml:space="preserve">[List 2–3 priority hazards identified from survey + focus groups]</w:t>
            </w:r>
          </w:p>
        </w:tc>
      </w:tr>
    </w:tbl>
    <w:p>
      <w:pPr>
        <w:spacing w:after="80"/>
      </w:pPr>
      <w:r>
        <w:t xml:space="preserve"/>
      </w:r>
    </w:p>
    <w:p>
      <w:pPr>
        <w:spacing w:after="120"/>
        <w:jc w:val="left"/>
      </w:pPr>
      <w:r>
        <w:rPr>
          <w:rFonts w:ascii="Arial" w:cs="Arial" w:eastAsia="Arial" w:hAnsi="Arial"/>
          <w:b w:val="false"/>
          <w:bCs w:val="false"/>
          <w:i w:val="false"/>
          <w:iCs w:val="false"/>
          <w:color w:val="1E293B"/>
          <w:sz w:val="22"/>
          <w:szCs w:val="22"/>
        </w:rPr>
        <w:t xml:space="preserve">Each action below addresses a specific psychosocial hazard identified through the survey and focus group process. Actions are assigned to named individuals with specific target dates. Progress will be reviewed at 90 days and at the 12-month re-survey.</w:t>
      </w:r>
    </w:p>
    <w:p>
      <w:pPr>
        <w:spacing w:after="120"/>
        <w:jc w:val="left"/>
      </w:pPr>
      <w:r>
        <w:rPr>
          <w:rFonts w:ascii="Arial" w:cs="Arial" w:eastAsia="Arial" w:hAnsi="Arial"/>
          <w:b w:val="false"/>
          <w:bCs w:val="false"/>
          <w:i/>
          <w:iCs/>
          <w:color w:val="64748B"/>
          <w:sz w:val="20"/>
          <w:szCs w:val="20"/>
        </w:rPr>
        <w:t xml:space="preserve">The hierarchy of controls guides the level of each action: elimination and substitution (changing the work) are prioritised over administrative controls and individual-level supports.</w:t>
      </w:r>
    </w:p>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Action Plan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2400"/>
        <w:gridCol w:w="900"/>
        <w:gridCol w:w="1300"/>
        <w:gridCol w:w="1038"/>
      </w:tblGrid>
      <w:tr>
        <w:trPr>
          <w:tblHeader/>
        </w:trPr>
        <w:tc>
          <w:tcPr>
            <w:tcW w:type="dxa" w:w="1400"/>
            <w:tcBorders>
              <w:top w:val="single" w:color="CCCCCC" w:sz="1"/>
              <w:left w:val="single" w:color="CCCCCC" w:sz="1"/>
              <w:bottom w:val="single" w:color="CCCCCC" w:sz="1"/>
              <w:right w:val="single" w:color="CCCCCC" w:sz="1"/>
            </w:tcBorders>
            <w:shd w:fill="1E3A5F" w:val="clear"/>
            <w:tcMar>
              <w:top w:type="dxa" w:w="80"/>
              <w:left w:type="dxa" w:w="100"/>
              <w:bottom w:type="dxa" w:w="80"/>
              <w:right w:type="dxa" w:w="100"/>
            </w:tcMar>
          </w:tcPr>
          <w:p>
            <w:r>
              <w:rPr>
                <w:rFonts w:ascii="Arial" w:cs="Arial" w:eastAsia="Arial" w:hAnsi="Arial"/>
                <w:b/>
                <w:bCs/>
                <w:color w:val="FFFFFF"/>
                <w:sz w:val="18"/>
                <w:szCs w:val="18"/>
              </w:rPr>
              <w:t xml:space="preserve">Hazard</w:t>
            </w:r>
          </w:p>
        </w:tc>
        <w:tc>
          <w:tcPr>
            <w:tcW w:type="dxa" w:w="1600"/>
            <w:tcBorders>
              <w:top w:val="single" w:color="CCCCCC" w:sz="1"/>
              <w:left w:val="single" w:color="CCCCCC" w:sz="1"/>
              <w:bottom w:val="single" w:color="CCCCCC" w:sz="1"/>
              <w:right w:val="single" w:color="CCCCCC" w:sz="1"/>
            </w:tcBorders>
            <w:shd w:fill="1E3A5F" w:val="clear"/>
            <w:tcMar>
              <w:top w:type="dxa" w:w="80"/>
              <w:left w:type="dxa" w:w="100"/>
              <w:bottom w:type="dxa" w:w="80"/>
              <w:right w:type="dxa" w:w="100"/>
            </w:tcMar>
          </w:tcPr>
          <w:p>
            <w:r>
              <w:rPr>
                <w:rFonts w:ascii="Arial" w:cs="Arial" w:eastAsia="Arial" w:hAnsi="Arial"/>
                <w:b/>
                <w:bCs/>
                <w:color w:val="FFFFFF"/>
                <w:sz w:val="18"/>
                <w:szCs w:val="18"/>
              </w:rPr>
              <w:t xml:space="preserve">Contributing factor
(focus groups)</w:t>
            </w:r>
          </w:p>
        </w:tc>
        <w:tc>
          <w:tcPr>
            <w:tcW w:type="dxa" w:w="2400"/>
            <w:tcBorders>
              <w:top w:val="single" w:color="CCCCCC" w:sz="1"/>
              <w:left w:val="single" w:color="CCCCCC" w:sz="1"/>
              <w:bottom w:val="single" w:color="CCCCCC" w:sz="1"/>
              <w:right w:val="single" w:color="CCCCCC" w:sz="1"/>
            </w:tcBorders>
            <w:shd w:fill="1E3A5F" w:val="clear"/>
            <w:tcMar>
              <w:top w:type="dxa" w:w="80"/>
              <w:left w:type="dxa" w:w="100"/>
              <w:bottom w:type="dxa" w:w="80"/>
              <w:right w:type="dxa" w:w="100"/>
            </w:tcMar>
          </w:tcPr>
          <w:p>
            <w:r>
              <w:rPr>
                <w:rFonts w:ascii="Arial" w:cs="Arial" w:eastAsia="Arial" w:hAnsi="Arial"/>
                <w:b/>
                <w:bCs/>
                <w:color w:val="FFFFFF"/>
                <w:sz w:val="18"/>
                <w:szCs w:val="18"/>
              </w:rPr>
              <w:t xml:space="preserve">Action</w:t>
            </w:r>
          </w:p>
        </w:tc>
        <w:tc>
          <w:tcPr>
            <w:tcW w:type="dxa" w:w="900"/>
            <w:tcBorders>
              <w:top w:val="single" w:color="CCCCCC" w:sz="1"/>
              <w:left w:val="single" w:color="CCCCCC" w:sz="1"/>
              <w:bottom w:val="single" w:color="CCCCCC" w:sz="1"/>
              <w:right w:val="single" w:color="CCCCCC" w:sz="1"/>
            </w:tcBorders>
            <w:shd w:fill="1E3A5F" w:val="clear"/>
            <w:tcMar>
              <w:top w:type="dxa" w:w="80"/>
              <w:left w:type="dxa" w:w="100"/>
              <w:bottom w:type="dxa" w:w="80"/>
              <w:right w:type="dxa" w:w="100"/>
            </w:tcMar>
          </w:tcPr>
          <w:p>
            <w:r>
              <w:rPr>
                <w:rFonts w:ascii="Arial" w:cs="Arial" w:eastAsia="Arial" w:hAnsi="Arial"/>
                <w:b/>
                <w:bCs/>
                <w:color w:val="FFFFFF"/>
                <w:sz w:val="18"/>
                <w:szCs w:val="18"/>
              </w:rPr>
              <w:t xml:space="preserve">Control level</w:t>
            </w:r>
          </w:p>
        </w:tc>
        <w:tc>
          <w:tcPr>
            <w:tcW w:type="dxa" w:w="1300"/>
            <w:tcBorders>
              <w:top w:val="single" w:color="CCCCCC" w:sz="1"/>
              <w:left w:val="single" w:color="CCCCCC" w:sz="1"/>
              <w:bottom w:val="single" w:color="CCCCCC" w:sz="1"/>
              <w:right w:val="single" w:color="CCCCCC" w:sz="1"/>
            </w:tcBorders>
            <w:shd w:fill="1E3A5F" w:val="clear"/>
            <w:tcMar>
              <w:top w:type="dxa" w:w="80"/>
              <w:left w:type="dxa" w:w="100"/>
              <w:bottom w:type="dxa" w:w="80"/>
              <w:right w:type="dxa" w:w="100"/>
            </w:tcMar>
          </w:tcPr>
          <w:p>
            <w:r>
              <w:rPr>
                <w:rFonts w:ascii="Arial" w:cs="Arial" w:eastAsia="Arial" w:hAnsi="Arial"/>
                <w:b/>
                <w:bCs/>
                <w:color w:val="FFFFFF"/>
                <w:sz w:val="18"/>
                <w:szCs w:val="18"/>
              </w:rPr>
              <w:t xml:space="preserve">Owner</w:t>
            </w:r>
          </w:p>
        </w:tc>
        <w:tc>
          <w:tcPr>
            <w:tcW w:type="dxa" w:w="1038"/>
            <w:tcBorders>
              <w:top w:val="single" w:color="CCCCCC" w:sz="1"/>
              <w:left w:val="single" w:color="CCCCCC" w:sz="1"/>
              <w:bottom w:val="single" w:color="CCCCCC" w:sz="1"/>
              <w:right w:val="single" w:color="CCCCCC" w:sz="1"/>
            </w:tcBorders>
            <w:shd w:fill="1E3A5F" w:val="clear"/>
            <w:tcMar>
              <w:top w:type="dxa" w:w="80"/>
              <w:left w:type="dxa" w:w="100"/>
              <w:bottom w:type="dxa" w:w="80"/>
              <w:right w:type="dxa" w:w="100"/>
            </w:tcMar>
          </w:tcPr>
          <w:p>
            <w:r>
              <w:rPr>
                <w:rFonts w:ascii="Arial" w:cs="Arial" w:eastAsia="Arial" w:hAnsi="Arial"/>
                <w:b/>
                <w:bCs/>
                <w:color w:val="FFFFFF"/>
                <w:sz w:val="18"/>
                <w:szCs w:val="18"/>
              </w:rPr>
              <w:t xml:space="preserve">Target date</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Role Overload</w:t>
            </w:r>
          </w:p>
        </w:tc>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Task allocation made without visibility of individual workload</w:t>
            </w:r>
          </w:p>
        </w:tc>
        <w:tc>
          <w:tcPr>
            <w:tcW w:type="dxa" w:w="2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Implement team workload visibility process in weekly stand-up. Manager reviews and redistributes tasks where workload is persistently unmanageable.</w:t>
            </w:r>
          </w:p>
        </w:tc>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Engineering</w:t>
            </w:r>
          </w:p>
        </w:tc>
        <w:tc>
          <w:tcPr>
            <w:tcW w:type="dxa" w:w="13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[Name]</w:t>
            </w:r>
          </w:p>
        </w:tc>
        <w:tc>
          <w:tcPr>
            <w:tcW w:type="dxa" w:w="1038"/>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64748B"/>
                <w:sz w:val="18"/>
                <w:szCs w:val="18"/>
              </w:rPr>
              <w:t xml:space="preserve">[Date]</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Supervisor Support</w:t>
            </w:r>
          </w:p>
        </w:tc>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Managers unsure how to have wellbeing conversations; workers feel unsupported when raising problems</w:t>
            </w:r>
          </w:p>
        </w:tc>
        <w:tc>
          <w:tcPr>
            <w:tcW w:type="dxa" w:w="2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Deliver 2-hour manager upskilling session on psychosocial risk and supportive response. Develop a brief guide for managers on the first conversation.</w:t>
            </w:r>
          </w:p>
        </w:tc>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Administrative</w:t>
            </w:r>
          </w:p>
        </w:tc>
        <w:tc>
          <w:tcPr>
            <w:tcW w:type="dxa" w:w="13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[Name]</w:t>
            </w:r>
          </w:p>
        </w:tc>
        <w:tc>
          <w:tcPr>
            <w:tcW w:type="dxa" w:w="1038"/>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64748B"/>
                <w:sz w:val="18"/>
                <w:szCs w:val="18"/>
              </w:rPr>
              <w:t xml:space="preserve">[Date]</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Change Consultation</w:t>
            </w:r>
          </w:p>
        </w:tc>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Decisions announced rather than consulted on; workers feel changes are imposed</w:t>
            </w:r>
          </w:p>
        </w:tc>
        <w:tc>
          <w:tcPr>
            <w:tcW w:type="dxa" w:w="2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Pilot team input sessions for next two significant operational changes. Establish a minimum notice period and feedback window for changes affecting team structure or workload.</w:t>
            </w:r>
          </w:p>
        </w:tc>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val="false"/>
                <w:iCs w:val="false"/>
                <w:color w:val="1E293B"/>
                <w:sz w:val="18"/>
                <w:szCs w:val="18"/>
              </w:rPr>
              <w:t xml:space="preserve">Substitution</w:t>
            </w:r>
          </w:p>
        </w:tc>
        <w:tc>
          <w:tcPr>
            <w:tcW w:type="dxa" w:w="13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[Name]</w:t>
            </w:r>
          </w:p>
        </w:tc>
        <w:tc>
          <w:tcPr>
            <w:tcW w:type="dxa" w:w="1038"/>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64748B"/>
                <w:sz w:val="18"/>
                <w:szCs w:val="18"/>
              </w:rPr>
              <w:t xml:space="preserve">[Date]</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[Hazard]</w:t>
            </w:r>
          </w:p>
        </w:tc>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[Contributing factor from focus groups]</w:t>
            </w:r>
          </w:p>
        </w:tc>
        <w:tc>
          <w:tcPr>
            <w:tcW w:type="dxa" w:w="2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[Specific action — what, how, for whom]</w:t>
            </w:r>
          </w:p>
        </w:tc>
        <w:tc>
          <w:tcPr>
            <w:tcW w:type="dxa" w:w="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[Level]</w:t>
            </w:r>
          </w:p>
        </w:tc>
        <w:tc>
          <w:tcPr>
            <w:tcW w:type="dxa" w:w="13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1E293B"/>
                <w:sz w:val="18"/>
                <w:szCs w:val="18"/>
              </w:rPr>
              <w:t xml:space="preserve">[Name]</w:t>
            </w:r>
          </w:p>
        </w:tc>
        <w:tc>
          <w:tcPr>
            <w:tcW w:type="dxa" w:w="1038"/>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i/>
                <w:iCs/>
                <w:color w:val="64748B"/>
                <w:sz w:val="18"/>
                <w:szCs w:val="18"/>
              </w:rPr>
              <w:t xml:space="preserve">[Date]</w:t>
            </w:r>
          </w:p>
        </w:tc>
      </w:tr>
    </w:tbl>
    <w:p>
      <w:pPr>
        <w:spacing w:after="80"/>
      </w:pPr>
      <w:r>
        <w:t xml:space="preserve"/>
      </w:r>
    </w:p>
    <w:p>
      <w:pPr>
        <w:spacing w:after="120"/>
        <w:jc w:val="left"/>
      </w:pPr>
      <w:r>
        <w:rPr>
          <w:rFonts w:ascii="Arial" w:cs="Arial" w:eastAsia="Arial" w:hAnsi="Arial"/>
          <w:b w:val="false"/>
          <w:bCs w:val="false"/>
          <w:i/>
          <w:iCs/>
          <w:color w:val="64748B"/>
          <w:sz w:val="18"/>
          <w:szCs w:val="18"/>
        </w:rPr>
        <w:t xml:space="preserve">Hierarchy of controls reference: Elimination &gt; Substitution &gt; Isolation &gt; Engineering &gt; Administrative &gt; Individual support (PPE equivalent). Actions higher in the hierarchy produce more durable change.</w:t>
      </w:r>
    </w:p>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Communication Plan</w:t>
      </w:r>
    </w:p>
    <w:p>
      <w:pPr>
        <w:spacing w:after="120"/>
        <w:jc w:val="left"/>
      </w:pPr>
      <w:r>
        <w:rPr>
          <w:rFonts w:ascii="Arial" w:cs="Arial" w:eastAsia="Arial" w:hAnsi="Arial"/>
          <w:b w:val="false"/>
          <w:bCs w:val="false"/>
          <w:i w:val="false"/>
          <w:iCs w:val="false"/>
          <w:color w:val="1E293B"/>
          <w:sz w:val="22"/>
          <w:szCs w:val="22"/>
        </w:rPr>
        <w:t xml:space="preserve">Complete this section to document how the action plan will be communicated back to workers.</w:t>
      </w:r>
    </w:p>
    <w:p>
      <w:pPr>
        <w:spacing w:after="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rPr>
          <w:tblHeader/>
        </w:trPr>
        <w:tc>
          <w:tcPr>
            <w:tcW w:type="dxa" w:w="24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When</w:t>
            </w:r>
          </w:p>
        </w:tc>
        <w:tc>
          <w:tcPr>
            <w:tcW w:type="dxa" w:w="723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What / To whom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[Date — within 2 weeks of plan approval]</w:t>
            </w:r>
          </w:p>
        </w:tc>
        <w:tc>
          <w:tcPr>
            <w:tcW w:type="dxa" w:w="72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Share action plan summary with all staff who participated in the survey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[Date — 30 days]</w:t>
            </w:r>
          </w:p>
        </w:tc>
        <w:tc>
          <w:tcPr>
            <w:tcW w:type="dxa" w:w="72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First progress update — actions completed or underway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[90-day review date]</w:t>
            </w:r>
          </w:p>
        </w:tc>
        <w:tc>
          <w:tcPr>
            <w:tcW w:type="dxa" w:w="72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Formal review of all actions. Share updated status with workers.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[12–24 months]</w:t>
            </w:r>
          </w:p>
        </w:tc>
        <w:tc>
          <w:tcPr>
            <w:tcW w:type="dxa" w:w="72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Re-survey. Compare results to baseline. Report outcomes.</w:t>
            </w:r>
          </w:p>
        </w:tc>
      </w:tr>
    </w:tbl>
    <w:p>
      <w:pPr>
        <w:spacing w:after="80"/>
      </w:pPr>
      <w:r>
        <w:t xml:space="preserve"/>
      </w:r>
    </w:p>
    <w:p>
      <w:pPr>
        <w:pBdr>
          <w:bottom w:val="single" w:color="E2E8F0" w:sz="2" w:space="1"/>
        </w:pBdr>
        <w:spacing w:after="200" w:before="200"/>
      </w:pPr>
    </w:p>
    <w:p>
      <w:pPr>
        <w:pStyle w:val="Heading1"/>
        <w:pBdr>
          <w:bottom w:val="single" w:color="2563EB" w:sz="4" w:space="4"/>
        </w:pBdr>
        <w:spacing w:after="160" w:before="280"/>
      </w:pPr>
      <w:r>
        <w:rPr>
          <w:rFonts w:ascii="Arial" w:cs="Arial" w:eastAsia="Arial" w:hAnsi="Arial"/>
          <w:b/>
          <w:bCs/>
          <w:color w:val="1E3A5F"/>
          <w:sz w:val="36"/>
          <w:szCs w:val="36"/>
        </w:rPr>
        <w:t xml:space="preserve">90-Day Review</w:t>
      </w:r>
    </w:p>
    <w:p>
      <w:pPr>
        <w:spacing w:after="120"/>
        <w:jc w:val="left"/>
      </w:pPr>
      <w:r>
        <w:rPr>
          <w:rFonts w:ascii="Arial" w:cs="Arial" w:eastAsia="Arial" w:hAnsi="Arial"/>
          <w:b w:val="false"/>
          <w:bCs w:val="false"/>
          <w:i w:val="false"/>
          <w:iCs w:val="false"/>
          <w:color w:val="1E293B"/>
          <w:sz w:val="22"/>
          <w:szCs w:val="22"/>
        </w:rPr>
        <w:t xml:space="preserve">Complete at the 90-day review. For each action, record status and any commentary.</w:t>
      </w:r>
    </w:p>
    <w:p>
      <w:pPr>
        <w:spacing w:after="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638"/>
      </w:tblGrid>
      <w:tr>
        <w:trPr>
          <w:tblHeader/>
        </w:trP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Action (summary)</w:t>
            </w:r>
          </w:p>
        </w:tc>
        <w:tc>
          <w:tcPr>
            <w:tcW w:type="dxa" w:w="24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363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Notes / Revised timeline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[Action 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Complete / In progress / Not started / Deferred</w:t>
            </w:r>
          </w:p>
        </w:tc>
        <w:tc>
          <w:tcPr>
            <w:tcW w:type="dxa" w:w="36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[Action 2]</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Complete / In progress / Not started / Deferred</w:t>
            </w:r>
          </w:p>
        </w:tc>
        <w:tc>
          <w:tcPr>
            <w:tcW w:type="dxa" w:w="36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[Action 3]</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Complete / In progress / Not started / Deferred</w:t>
            </w:r>
          </w:p>
        </w:tc>
        <w:tc>
          <w:tcPr>
            <w:tcW w:type="dxa" w:w="36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[Action 4]</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Complete / In progress / Not started / Deferred</w:t>
            </w:r>
          </w:p>
        </w:tc>
        <w:tc>
          <w:tcPr>
            <w:tcW w:type="dxa" w:w="36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
            </w:r>
          </w:p>
        </w:tc>
      </w:tr>
    </w:tbl>
    <w:p>
      <w:pPr>
        <w:spacing w:after="80"/>
      </w:pPr>
      <w:r>
        <w:t xml:space="preserve"/>
      </w:r>
    </w:p>
    <w:p>
      <w:pPr>
        <w:spacing w:after="120"/>
        <w:jc w:val="left"/>
      </w:pPr>
      <w:r>
        <w:rPr>
          <w:rFonts w:ascii="Arial" w:cs="Arial" w:eastAsia="Arial" w:hAnsi="Arial"/>
          <w:b w:val="false"/>
          <w:bCs w:val="false"/>
          <w:i w:val="false"/>
          <w:iCs w:val="false"/>
          <w:color w:val="1E293B"/>
          <w:sz w:val="22"/>
          <w:szCs w:val="22"/>
        </w:rPr>
        <w:t xml:space="preserve">Review completed by: _______________________     Date: _______________</w:t>
      </w:r>
    </w:p>
    <w:p>
      <w:pPr>
        <w:spacing w:after="80"/>
      </w:pPr>
      <w:r>
        <w:t xml:space="preserve"/>
      </w:r>
    </w:p>
    <w:p>
      <w:pPr>
        <w:spacing w:after="120"/>
        <w:jc w:val="left"/>
      </w:pPr>
      <w:r>
        <w:rPr>
          <w:rFonts w:ascii="Arial" w:cs="Arial" w:eastAsia="Arial" w:hAnsi="Arial"/>
          <w:b w:val="false"/>
          <w:bCs w:val="false"/>
          <w:i w:val="false"/>
          <w:iCs w:val="false"/>
          <w:color w:val="1E293B"/>
          <w:sz w:val="22"/>
          <w:szCs w:val="22"/>
        </w:rPr>
        <w:t xml:space="preserve">Actions not completed at 90 days — revised plan:</w:t>
      </w:r>
    </w:p>
    <w:p>
      <w:pPr>
        <w:spacing w:after="80"/>
      </w:pPr>
      <w:r>
        <w:t xml:space="preserve"/>
      </w:r>
    </w:p>
    <w:p>
      <w:pPr>
        <w:spacing w:after="80"/>
      </w:pPr>
      <w:r>
        <w:t xml:space="preserve"/>
      </w:r>
    </w:p>
    <w:p>
      <w:pPr>
        <w:spacing w:after="80"/>
      </w:pPr>
      <w:r>
        <w:t xml:space="preserve"/>
      </w:r>
    </w:p>
    <w:p>
      <w:pPr>
        <w:pBdr>
          <w:bottom w:val="single" w:color="E2E8F0" w:sz="2" w:space="1"/>
        </w:pBdr>
        <w:spacing w:after="200" w:before="200"/>
      </w:pPr>
    </w:p>
    <w:p>
      <w:pPr>
        <w:spacing w:after="120"/>
        <w:jc w:val="left"/>
      </w:pPr>
      <w:r>
        <w:rPr>
          <w:rFonts w:ascii="Arial" w:cs="Arial" w:eastAsia="Arial" w:hAnsi="Arial"/>
          <w:b w:val="false"/>
          <w:bCs w:val="false"/>
          <w:i/>
          <w:iCs/>
          <w:color w:val="64748B"/>
          <w:sz w:val="18"/>
          <w:szCs w:val="18"/>
        </w:rPr>
        <w:t xml:space="preserve">This action plan should be treated as a live document. It is a record of due diligence and a commitment to workers. Store it securely and update it as actions are completed or revised.</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sz w:val="36"/>
      <w:szCs w:val="36"/>
    </w:rPr>
  </w:style>
  <w:style w:type="paragraph" w:styleId="Heading2">
    <w:name w:val="Heading 2"/>
    <w:basedOn w:val="Normal"/>
    <w:next w:val="Normal"/>
    <w:qFormat/>
    <w:pPr>
      <w:spacing w:after="120" w:before="240"/>
      <w:outlineLvl w:val="1"/>
    </w:pPr>
    <w:rPr>
      <w:rFonts w:ascii="Arial" w:cs="Arial" w:eastAsia="Arial" w:hAnsi="Arial"/>
      <w:b/>
      <w:bCs/>
      <w:sz w:val="28"/>
      <w:szCs w:val="28"/>
    </w:rPr>
  </w:style>
  <w:style w:type="paragraph" w:styleId="Heading3">
    <w:name w:val="Heading 3"/>
    <w:basedOn w:val="Normal"/>
    <w:next w:val="Normal"/>
    <w:qFormat/>
    <w:pPr>
      <w:spacing w:after="80" w:before="16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2026-04-04T01:20:25.992Z</dcterms:created>
  <dcterms:modified xsi:type="dcterms:W3CDTF">2026-04-04T01:20:25.992Z</dcterms:modified>
</cp:coreProperties>
</file>

<file path=docProps/custom.xml><?xml version="1.0" encoding="utf-8"?>
<Properties xmlns="http://schemas.openxmlformats.org/officeDocument/2006/custom-properties" xmlns:vt="http://schemas.openxmlformats.org/officeDocument/2006/docPropsVTypes"/>
</file>