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none"/>
          <w:left w:val="none"/>
          <w:bottom w:val="none"/>
          <w:right w:val="none"/>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EFF6FF" w:val="clear"/>
            <w:tcMar>
              <w:top w:type="dxa" w:w="120"/>
              <w:left w:type="dxa" w:w="160"/>
              <w:bottom w:type="dxa" w:w="120"/>
              <w:right w:type="dxa" w:w="160"/>
            </w:tcMar>
          </w:tcPr>
          <w:p>
            <w:pPr>
              <w:spacing w:after="60"/>
            </w:pPr>
            <w:r>
              <w:rPr>
                <w:rFonts w:ascii="Arial" w:cs="Arial" w:eastAsia="Arial" w:hAnsi="Arial"/>
                <w:b/>
                <w:bCs/>
                <w:caps/>
                <w:color w:val="64748B"/>
                <w:sz w:val="20"/>
                <w:szCs w:val="20"/>
              </w:rPr>
              <w:t xml:space="preserve">MANAGER BRIEFING GUIDE</w:t>
            </w:r>
          </w:p>
          <w:p>
            <w:pPr>
              <w:spacing w:after="0"/>
            </w:pPr>
            <w:r>
              <w:rPr>
                <w:rFonts w:ascii="Arial" w:cs="Arial" w:eastAsia="Arial" w:hAnsi="Arial"/>
                <w:b/>
                <w:bCs/>
                <w:color w:val="1E3A5F"/>
                <w:sz w:val="26"/>
                <w:szCs w:val="26"/>
              </w:rPr>
              <w:t xml:space="preserve">Preparing managers to support the psychosocial survey</w:t>
            </w:r>
          </w:p>
        </w:tc>
      </w:tr>
    </w:tbl>
    <w:p>
      <w:pPr>
        <w:spacing w:after="80"/>
      </w:pPr>
      <w:r>
        <w:t xml:space="preserve"/>
      </w:r>
    </w:p>
    <w:p>
      <w:pPr>
        <w:spacing w:after="120"/>
        <w:jc w:val="left"/>
      </w:pPr>
      <w:r>
        <w:rPr>
          <w:rFonts w:ascii="Arial" w:cs="Arial" w:eastAsia="Arial" w:hAnsi="Arial"/>
          <w:b w:val="false"/>
          <w:bCs w:val="false"/>
          <w:i w:val="false"/>
          <w:iCs w:val="false"/>
          <w:color w:val="1E293B"/>
          <w:sz w:val="22"/>
          <w:szCs w:val="22"/>
        </w:rPr>
        <w:t xml:space="preserve">This guide equips managers to support the survey, answer common questions from their team, and avoid common mistakes that undermine participation. It should be delivered 1 week before survey launch, either in a short briefing session or as a read-ahead document.</w:t>
      </w:r>
    </w:p>
    <w:p>
      <w:pPr>
        <w:pStyle w:val="Heading2"/>
        <w:spacing w:after="120" w:before="240"/>
      </w:pPr>
      <w:r>
        <w:rPr>
          <w:rFonts w:ascii="Arial" w:cs="Arial" w:eastAsia="Arial" w:hAnsi="Arial"/>
          <w:b/>
          <w:bCs/>
          <w:color w:val="1E3A5F"/>
          <w:sz w:val="28"/>
          <w:szCs w:val="28"/>
        </w:rPr>
        <w:t xml:space="preserve">What you need to know</w:t>
      </w:r>
    </w:p>
    <w:p>
      <w:pPr>
        <w:pStyle w:val="Heading3"/>
        <w:spacing w:after="80" w:before="160"/>
      </w:pPr>
      <w:r>
        <w:rPr>
          <w:rFonts w:ascii="Arial" w:cs="Arial" w:eastAsia="Arial" w:hAnsi="Arial"/>
          <w:b/>
          <w:bCs/>
          <w:color w:val="2563EB"/>
          <w:sz w:val="24"/>
          <w:szCs w:val="24"/>
        </w:rPr>
        <w:t xml:space="preserve">The survey is about work conditions, not individuals</w:t>
      </w:r>
    </w:p>
    <w:p>
      <w:pPr>
        <w:spacing w:after="120"/>
        <w:jc w:val="left"/>
      </w:pPr>
      <w:r>
        <w:rPr>
          <w:rFonts w:ascii="Arial" w:cs="Arial" w:eastAsia="Arial" w:hAnsi="Arial"/>
          <w:b w:val="false"/>
          <w:bCs w:val="false"/>
          <w:i w:val="false"/>
          <w:iCs w:val="false"/>
          <w:color w:val="1E293B"/>
          <w:sz w:val="22"/>
          <w:szCs w:val="22"/>
        </w:rPr>
        <w:t xml:space="preserve">The survey measures psychosocial factors — things like workload, role clarity, quality of support, fairness of processes. It does not measure individual performance, attitudes, or mental health. Results are reported as aggregate patterns. No individual response is ever visible.</w:t>
      </w:r>
    </w:p>
    <w:p>
      <w:pPr>
        <w:pStyle w:val="Heading3"/>
        <w:spacing w:after="80" w:before="160"/>
      </w:pPr>
      <w:r>
        <w:rPr>
          <w:rFonts w:ascii="Arial" w:cs="Arial" w:eastAsia="Arial" w:hAnsi="Arial"/>
          <w:b/>
          <w:bCs/>
          <w:color w:val="2563EB"/>
          <w:sz w:val="24"/>
          <w:szCs w:val="24"/>
        </w:rPr>
        <w:t xml:space="preserve">You will not see your team's individual responses</w:t>
      </w:r>
    </w:p>
    <w:p>
      <w:pPr>
        <w:spacing w:after="120"/>
        <w:jc w:val="left"/>
      </w:pPr>
      <w:r>
        <w:rPr>
          <w:rFonts w:ascii="Arial" w:cs="Arial" w:eastAsia="Arial" w:hAnsi="Arial"/>
          <w:b w:val="false"/>
          <w:bCs w:val="false"/>
          <w:i w:val="false"/>
          <w:iCs w:val="false"/>
          <w:color w:val="1E293B"/>
          <w:sz w:val="22"/>
          <w:szCs w:val="22"/>
        </w:rPr>
        <w:t xml:space="preserve">This is important to communicate clearly and early. Individual responses go to [platform / system], which only [name/role] can access. Your role is not to interpret raw data — you will receive aggregated results for your area when the analysis is complete.</w:t>
      </w:r>
    </w:p>
    <w:p>
      <w:pPr>
        <w:pStyle w:val="Heading3"/>
        <w:spacing w:after="80" w:before="160"/>
      </w:pPr>
      <w:r>
        <w:rPr>
          <w:rFonts w:ascii="Arial" w:cs="Arial" w:eastAsia="Arial" w:hAnsi="Arial"/>
          <w:b/>
          <w:bCs/>
          <w:color w:val="2563EB"/>
          <w:sz w:val="24"/>
          <w:szCs w:val="24"/>
        </w:rPr>
        <w:t xml:space="preserve">Your team will look to you for signals</w:t>
      </w:r>
    </w:p>
    <w:p>
      <w:pPr>
        <w:spacing w:after="120"/>
        <w:jc w:val="left"/>
      </w:pPr>
      <w:r>
        <w:rPr>
          <w:rFonts w:ascii="Arial" w:cs="Arial" w:eastAsia="Arial" w:hAnsi="Arial"/>
          <w:b w:val="false"/>
          <w:bCs w:val="false"/>
          <w:i w:val="false"/>
          <w:iCs w:val="false"/>
          <w:color w:val="1E293B"/>
          <w:sz w:val="22"/>
          <w:szCs w:val="22"/>
        </w:rPr>
        <w:t xml:space="preserve">Workers pay close attention to how their manager talks about the survey. An eye-roll, a dismissive comment, or visible scepticism will reduce participation — particularly from people with concerns. Conversely, genuine endorsement from a manager workers trust significantly increases honest responding.</w:t>
      </w:r>
    </w:p>
    <w:p>
      <w:pPr>
        <w:pStyle w:val="Heading2"/>
        <w:spacing w:after="120" w:before="240"/>
      </w:pPr>
      <w:r>
        <w:rPr>
          <w:rFonts w:ascii="Arial" w:cs="Arial" w:eastAsia="Arial" w:hAnsi="Arial"/>
          <w:b/>
          <w:bCs/>
          <w:color w:val="1E3A5F"/>
          <w:sz w:val="28"/>
          <w:szCs w:val="28"/>
        </w:rPr>
        <w:t xml:space="preserve">What your team needs from you</w:t>
      </w:r>
    </w:p>
    <w:p>
      <w:pPr>
        <w:pStyle w:val="ListParagraph"/>
        <w:numPr>
          <w:ilvl w:val="0"/>
          <w:numId w:val="2"/>
        </w:numPr>
        <w:spacing w:after="80"/>
      </w:pPr>
      <w:r>
        <w:rPr>
          <w:rFonts w:ascii="Arial" w:cs="Arial" w:eastAsia="Arial" w:hAnsi="Arial"/>
          <w:b w:val="false"/>
          <w:bCs w:val="false"/>
          <w:color w:val="1E293B"/>
          <w:sz w:val="22"/>
          <w:szCs w:val="22"/>
        </w:rPr>
        <w:t xml:space="preserve">Acknowledge the survey when it's communicated — don't pretend it isn't happening.</w:t>
      </w:r>
    </w:p>
    <w:p>
      <w:pPr>
        <w:pStyle w:val="ListParagraph"/>
        <w:numPr>
          <w:ilvl w:val="0"/>
          <w:numId w:val="2"/>
        </w:numPr>
        <w:spacing w:after="80"/>
      </w:pPr>
      <w:r>
        <w:rPr>
          <w:rFonts w:ascii="Arial" w:cs="Arial" w:eastAsia="Arial" w:hAnsi="Arial"/>
          <w:b w:val="false"/>
          <w:bCs w:val="false"/>
          <w:color w:val="1E293B"/>
          <w:sz w:val="22"/>
          <w:szCs w:val="22"/>
        </w:rPr>
        <w:t xml:space="preserve">Be honest if you have questions too. It's fine to say "I'll find out" rather than speculating about process.</w:t>
      </w:r>
    </w:p>
    <w:p>
      <w:pPr>
        <w:pStyle w:val="ListParagraph"/>
        <w:numPr>
          <w:ilvl w:val="0"/>
          <w:numId w:val="2"/>
        </w:numPr>
        <w:spacing w:after="80"/>
      </w:pPr>
      <w:r>
        <w:rPr>
          <w:rFonts w:ascii="Arial" w:cs="Arial" w:eastAsia="Arial" w:hAnsi="Arial"/>
          <w:b w:val="false"/>
          <w:bCs w:val="false"/>
          <w:color w:val="1E293B"/>
          <w:sz w:val="22"/>
          <w:szCs w:val="22"/>
        </w:rPr>
        <w:t xml:space="preserve">Encourage participation without creating pressure. "I hope you'll find the time" is different from "I expect everyone to complete this by Friday."</w:t>
      </w:r>
    </w:p>
    <w:p>
      <w:pPr>
        <w:pStyle w:val="ListParagraph"/>
        <w:numPr>
          <w:ilvl w:val="0"/>
          <w:numId w:val="2"/>
        </w:numPr>
        <w:spacing w:after="80"/>
      </w:pPr>
      <w:r>
        <w:rPr>
          <w:rFonts w:ascii="Arial" w:cs="Arial" w:eastAsia="Arial" w:hAnsi="Arial"/>
          <w:b w:val="false"/>
          <w:bCs w:val="false"/>
          <w:color w:val="1E293B"/>
          <w:sz w:val="22"/>
          <w:szCs w:val="22"/>
        </w:rPr>
        <w:t xml:space="preserve">Make time visible — if you know the survey takes 10–15 minutes, consider whether your team has that time during their regular work pattern. A short window during a team meeting is one option.</w:t>
      </w:r>
    </w:p>
    <w:p>
      <w:pPr>
        <w:pStyle w:val="Heading2"/>
        <w:spacing w:after="120" w:before="240"/>
      </w:pPr>
      <w:r>
        <w:rPr>
          <w:rFonts w:ascii="Arial" w:cs="Arial" w:eastAsia="Arial" w:hAnsi="Arial"/>
          <w:b/>
          <w:bCs/>
          <w:color w:val="1E3A5F"/>
          <w:sz w:val="28"/>
          <w:szCs w:val="28"/>
        </w:rPr>
        <w:t xml:space="preserve">What to say — and what not to say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680"/>
        <w:gridCol w:w="4958"/>
      </w:tblGrid>
      <w:tr>
        <w:trPr>
          <w:tblHeader/>
        </w:trPr>
        <w:tc>
          <w:tcPr>
            <w:tcW w:type="dxa" w:w="46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Say this</w:t>
            </w:r>
          </w:p>
        </w:tc>
        <w:tc>
          <w:tcPr>
            <w:tcW w:type="dxa" w:w="495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Not this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"Your responses go directly to [platform] — I don't see them."</w:t>
            </w:r>
          </w:p>
        </w:tc>
        <w:tc>
          <w:tcPr>
            <w:tcW w:type="dxa" w:w="495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"Everything is confidential" (vague — doesn't tell them who does see it)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"The results will be shared with the team as group patterns — not individual answers."</w:t>
            </w:r>
          </w:p>
        </w:tc>
        <w:tc>
          <w:tcPr>
            <w:tcW w:type="dxa" w:w="495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"Don't worry about it, it's just a survey"</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"I want to know what's actually going on — your honest response helps more than a positive one."</w:t>
            </w:r>
          </w:p>
        </w:tc>
        <w:tc>
          <w:tcPr>
            <w:tcW w:type="dxa" w:w="495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"Obviously everything's fine here" (before results are in)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"I'll share what we find, and we'll talk through what it means for our team."</w:t>
            </w:r>
          </w:p>
        </w:tc>
        <w:tc>
          <w:tcPr>
            <w:tcW w:type="dxa" w:w="495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Saying nothing at all after results come in</w:t>
            </w:r>
          </w:p>
        </w:tc>
      </w:tr>
    </w:tbl>
    <w:p>
      <w:pPr>
        <w:pStyle w:val="Heading2"/>
        <w:spacing w:after="120" w:before="240"/>
      </w:pPr>
      <w:r>
        <w:rPr>
          <w:rFonts w:ascii="Arial" w:cs="Arial" w:eastAsia="Arial" w:hAnsi="Arial"/>
          <w:b/>
          <w:bCs/>
          <w:color w:val="1E3A5F"/>
          <w:sz w:val="28"/>
          <w:szCs w:val="28"/>
        </w:rPr>
        <w:t xml:space="preserve">Common questions your team may ask</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rPr>
          <w:tblHeader/>
        </w:trPr>
        <w:tc>
          <w:tcPr>
            <w:tcW w:type="dxa" w:w="32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Question</w:t>
            </w:r>
          </w:p>
        </w:tc>
        <w:tc>
          <w:tcPr>
            <w:tcW w:type="dxa" w:w="643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Suggested response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Can you see my answers?</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No. They go directly to [platform], which only [role] can access. I receive aggregate results — patterns across the team.</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Will this make any difference?</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That's a fair question. Honestly, that depends on what we find and what leadership commits to doing. The organisation has committed to sharing results and building an action plan. I'll hold that commitment and communicate updates to you.</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What if I'm worried about confidentiality in a small team?</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Good question to raise with [name/role — HR/WHS contact]. Minimum group sizes for reporting are designed to protect anonymity.</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Do I have to do it?</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Participation is voluntary. Your input improves what we're able to do with the findings — the more people respond, the more representative and useful the results.</w:t>
            </w:r>
          </w:p>
        </w:tc>
      </w:tr>
    </w:tbl>
    <w:p>
      <w:pPr>
        <w:pStyle w:val="Heading2"/>
        <w:spacing w:after="120" w:before="240"/>
      </w:pPr>
      <w:r>
        <w:rPr>
          <w:rFonts w:ascii="Arial" w:cs="Arial" w:eastAsia="Arial" w:hAnsi="Arial"/>
          <w:b/>
          <w:bCs/>
          <w:color w:val="1E3A5F"/>
          <w:sz w:val="28"/>
          <w:szCs w:val="28"/>
        </w:rPr>
        <w:t xml:space="preserve">After the survey closes</w:t>
      </w:r>
    </w:p>
    <w:p>
      <w:pPr>
        <w:spacing w:after="120"/>
        <w:jc w:val="left"/>
      </w:pPr>
      <w:r>
        <w:rPr>
          <w:rFonts w:ascii="Arial" w:cs="Arial" w:eastAsia="Arial" w:hAnsi="Arial"/>
          <w:b w:val="false"/>
          <w:bCs w:val="false"/>
          <w:i w:val="false"/>
          <w:iCs w:val="false"/>
          <w:color w:val="1E293B"/>
          <w:sz w:val="22"/>
          <w:szCs w:val="22"/>
        </w:rPr>
        <w:t xml:space="preserve">Results will be shared with [leadership / managers / teams] in [timeframe]. You will receive a briefing before results are communicated more broadly so you can prepare for any questions from your team.</w:t>
      </w:r>
    </w:p>
    <w:p>
      <w:pPr>
        <w:spacing w:after="120"/>
        <w:jc w:val="left"/>
      </w:pPr>
      <w:r>
        <w:rPr>
          <w:rFonts w:ascii="Arial" w:cs="Arial" w:eastAsia="Arial" w:hAnsi="Arial"/>
          <w:b w:val="false"/>
          <w:bCs w:val="false"/>
          <w:i w:val="false"/>
          <w:iCs w:val="false"/>
          <w:color w:val="1E293B"/>
          <w:sz w:val="22"/>
          <w:szCs w:val="22"/>
        </w:rPr>
        <w:t xml:space="preserve">You do not need to interpret or explain the results on your own — support will be available through [HR / WHS / name].</w:t>
      </w:r>
    </w:p>
    <w:p>
      <w:pPr>
        <w:spacing w:after="80"/>
      </w:pPr>
      <w:r>
        <w:t xml:space="preserve"/>
      </w:r>
    </w:p>
    <w:p>
      <w:pPr>
        <w:pBdr>
          <w:bottom w:val="single" w:color="E2E8F0" w:sz="2" w:space="1"/>
        </w:pBdr>
        <w:spacing w:after="200" w:before="200"/>
      </w:pPr>
    </w:p>
    <w:p>
      <w:pPr>
        <w:spacing w:after="120"/>
        <w:jc w:val="left"/>
      </w:pPr>
      <w:r>
        <w:rPr>
          <w:rFonts w:ascii="Arial" w:cs="Arial" w:eastAsia="Arial" w:hAnsi="Arial"/>
          <w:b w:val="false"/>
          <w:bCs w:val="false"/>
          <w:i/>
          <w:iCs/>
          <w:color w:val="64748B"/>
          <w:sz w:val="18"/>
          <w:szCs w:val="18"/>
        </w:rPr>
        <w:t xml:space="preserve">This guide is a starting point. Adapt the language and specifics to your organisation. If running a briefing session, allow 30–45 minutes and leave time for questions.</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sz w:val="36"/>
      <w:szCs w:val="36"/>
    </w:rPr>
  </w:style>
  <w:style w:type="paragraph" w:styleId="Heading2">
    <w:name w:val="Heading 2"/>
    <w:basedOn w:val="Normal"/>
    <w:next w:val="Normal"/>
    <w:qFormat/>
    <w:pPr>
      <w:spacing w:after="120" w:before="240"/>
      <w:outlineLvl w:val="1"/>
    </w:pPr>
    <w:rPr>
      <w:rFonts w:ascii="Arial" w:cs="Arial" w:eastAsia="Arial" w:hAnsi="Arial"/>
      <w:b/>
      <w:bCs/>
      <w:sz w:val="28"/>
      <w:szCs w:val="28"/>
    </w:rPr>
  </w:style>
  <w:style w:type="paragraph" w:styleId="Heading3">
    <w:name w:val="Heading 3"/>
    <w:basedOn w:val="Normal"/>
    <w:next w:val="Normal"/>
    <w:qFormat/>
    <w:pPr>
      <w:spacing w:after="80" w:before="16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2026-04-04T01:20:25.938Z</dcterms:created>
  <dcterms:modified xsi:type="dcterms:W3CDTF">2026-04-04T01:20:25.938Z</dcterms:modified>
</cp:coreProperties>
</file>

<file path=docProps/custom.xml><?xml version="1.0" encoding="utf-8"?>
<Properties xmlns="http://schemas.openxmlformats.org/officeDocument/2006/custom-properties" xmlns:vt="http://schemas.openxmlformats.org/officeDocument/2006/docPropsVTypes"/>
</file>