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p>
    <w:p>
      <w:pPr>
        <w:spacing w:after="60"/>
      </w:pPr>
      <w:r>
        <w:rPr>
          <w:rFonts w:ascii="Arial" w:cs="Arial" w:eastAsia="Arial" w:hAnsi="Arial"/>
          <w:b/>
          <w:bCs/>
          <w:color w:val="1E293B"/>
          <w:sz w:val="36"/>
          <w:szCs w:val="36"/>
        </w:rPr>
        <w:t xml:space="preserve">Psychosocial risk assessment</w:t>
      </w:r>
    </w:p>
    <w:p>
      <w:pPr>
        <w:spacing w:after="40"/>
      </w:pPr>
      <w:r>
        <w:rPr>
          <w:rFonts w:ascii="Arial" w:cs="Arial" w:eastAsia="Arial" w:hAnsi="Arial"/>
          <w:b/>
          <w:bCs/>
          <w:color w:val="1B6B93"/>
          <w:sz w:val="36"/>
          <w:szCs w:val="36"/>
        </w:rPr>
        <w:t xml:space="preserve">that tells you what to actually do about it.</w:t>
      </w:r>
    </w:p>
    <w:p>
      <w:pPr>
        <w:spacing w:after="220"/>
      </w:pPr>
      <w:r>
        <w:rPr>
          <w:rFonts w:ascii="Arial" w:cs="Arial" w:eastAsia="Arial" w:hAnsi="Arial"/>
          <w:color w:val="475569"/>
          <w:sz w:val="20"/>
          <w:szCs w:val="20"/>
        </w:rPr>
        <w:t xml:space="preserve">A free, evidence-based platform for identifying psychosocial hazards, understanding how they connect, and building a prioritised action plan — grounded in validated Australian research.</w:t>
      </w:r>
    </w:p>
    <w:p>
      <w:pPr>
        <w:pBdr>
          <w:bottom w:val="single" w:color="F1F5F9" w:sz="2" w:space="4"/>
        </w:pBdr>
        <w:spacing w:after="120"/>
      </w:pPr>
      <w:r>
        <w:rPr>
          <w:rFonts w:ascii="Arial" w:cs="Arial" w:eastAsia="Arial" w:hAnsi="Arial"/>
          <w:b/>
          <w:bCs/>
          <w:color w:val="1E293B"/>
          <w:sz w:val="24"/>
          <w:szCs w:val="24"/>
        </w:rPr>
        <w:t xml:space="preserve">The problem</w:t>
      </w:r>
    </w:p>
    <w:p>
      <w:pPr>
        <w:spacing w:after="80"/>
      </w:pPr>
      <w:r>
        <w:rPr>
          <w:rFonts w:ascii="Arial" w:cs="Arial" w:eastAsia="Arial" w:hAnsi="Arial"/>
          <w:color w:val="475569"/>
          <w:sz w:val="19"/>
          <w:szCs w:val="19"/>
        </w:rPr>
        <w:t xml:space="preserve">Every Australian employer has a legal duty to identify and manage psychosocial hazards. Since the 2022 update to the Model WHS Regulations, this is explicit — not optional, not implied. Regulators are actively enforcing it.</w:t>
      </w:r>
    </w:p>
    <w:p>
      <w:pPr>
        <w:spacing w:after="160"/>
      </w:pPr>
      <w:r>
        <w:rPr>
          <w:rFonts w:ascii="Arial" w:cs="Arial" w:eastAsia="Arial" w:hAnsi="Arial"/>
          <w:color w:val="475569"/>
          <w:sz w:val="19"/>
          <w:szCs w:val="19"/>
        </w:rPr>
        <w:t xml:space="preserve">But most organisations either do nothing, or run a wellbeing survey that tells them people are stressed — without showing which hazards to target or where intervention will have the greatest effect. That gap between “we measured something” and “we know what to do” is where real risk sits.</w:t>
      </w: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3369"/>
        <w:gridCol w:w="3369"/>
        <w:gridCol w:w="3368"/>
      </w:tblGrid>
      <w:tr>
        <w:tc>
          <w:tcPr>
            <w:tcW w:type="dxa" w:w="3369"/>
            <w:tcBorders>
              <w:top w:val="none" w:color="FFFFFF" w:sz="0"/>
              <w:left w:val="none" w:color="FFFFFF" w:sz="0"/>
              <w:bottom w:val="none" w:color="FFFFFF" w:sz="0"/>
              <w:right w:val="none" w:color="FFFFFF" w:sz="0"/>
            </w:tcBorders>
            <w:shd w:fill="F1F5F9" w:val="clear"/>
            <w:tcMar>
              <w:top w:type="dxa" w:w="120"/>
              <w:left w:type="dxa" w:w="160"/>
              <w:bottom w:type="dxa" w:w="120"/>
              <w:right w:type="dxa" w:w="160"/>
            </w:tcMar>
          </w:tcPr>
          <w:p>
            <w:pPr>
              <w:spacing w:after="40"/>
            </w:pPr>
            <w:r>
              <w:rPr>
                <w:rFonts w:ascii="Arial" w:cs="Arial" w:eastAsia="Arial" w:hAnsi="Arial"/>
                <w:b/>
                <w:bCs/>
                <w:color w:val="1B6B93"/>
                <w:sz w:val="32"/>
                <w:szCs w:val="32"/>
              </w:rPr>
              <w:t xml:space="preserve">~$55,000</w:t>
            </w:r>
          </w:p>
          <w:p>
            <w:pPr>
              <w:spacing w:after="20"/>
            </w:pPr>
            <w:r>
              <w:rPr>
                <w:rFonts w:ascii="Arial" w:cs="Arial" w:eastAsia="Arial" w:hAnsi="Arial"/>
                <w:b/>
                <w:bCs/>
                <w:color w:val="1E293B"/>
                <w:sz w:val="16"/>
                <w:szCs w:val="16"/>
              </w:rPr>
              <w:t xml:space="preserve">Avg. psych injury claim</w:t>
            </w:r>
          </w:p>
          <w:p>
            <w:r>
              <w:rPr>
                <w:rFonts w:ascii="Arial" w:cs="Arial" w:eastAsia="Arial" w:hAnsi="Arial"/>
                <w:i/>
                <w:iCs/>
                <w:color w:val="475569"/>
                <w:sz w:val="15"/>
                <w:szCs w:val="15"/>
              </w:rPr>
              <w:t xml:space="preserve">vs ~$14,000 for physical claims</w:t>
            </w:r>
          </w:p>
        </w:tc>
        <w:tc>
          <w:tcPr>
            <w:tcW w:type="dxa" w:w="3369"/>
            <w:tcBorders>
              <w:top w:val="none" w:color="FFFFFF" w:sz="0"/>
              <w:left w:val="none" w:color="FFFFFF" w:sz="0"/>
              <w:bottom w:val="none" w:color="FFFFFF" w:sz="0"/>
              <w:right w:val="none" w:color="FFFFFF" w:sz="0"/>
            </w:tcBorders>
            <w:shd w:fill="F1F5F9" w:val="clear"/>
            <w:tcMar>
              <w:top w:type="dxa" w:w="120"/>
              <w:left w:type="dxa" w:w="160"/>
              <w:bottom w:type="dxa" w:w="120"/>
              <w:right w:type="dxa" w:w="160"/>
            </w:tcMar>
          </w:tcPr>
          <w:p>
            <w:pPr>
              <w:spacing w:after="40"/>
            </w:pPr>
            <w:r>
              <w:rPr>
                <w:rFonts w:ascii="Arial" w:cs="Arial" w:eastAsia="Arial" w:hAnsi="Arial"/>
                <w:b/>
                <w:bCs/>
                <w:color w:val="1B6B93"/>
                <w:sz w:val="32"/>
                <w:szCs w:val="32"/>
              </w:rPr>
              <w:t xml:space="preserve">33 weeks</w:t>
            </w:r>
          </w:p>
          <w:p>
            <w:pPr>
              <w:spacing w:after="20"/>
            </w:pPr>
            <w:r>
              <w:rPr>
                <w:rFonts w:ascii="Arial" w:cs="Arial" w:eastAsia="Arial" w:hAnsi="Arial"/>
                <w:b/>
                <w:bCs/>
                <w:color w:val="1E293B"/>
                <w:sz w:val="16"/>
                <w:szCs w:val="16"/>
              </w:rPr>
              <w:t xml:space="preserve">Median time off work</w:t>
            </w:r>
          </w:p>
          <w:p>
            <w:r>
              <w:rPr>
                <w:rFonts w:ascii="Arial" w:cs="Arial" w:eastAsia="Arial" w:hAnsi="Arial"/>
                <w:i/>
                <w:iCs/>
                <w:color w:val="475569"/>
                <w:sz w:val="15"/>
                <w:szCs w:val="15"/>
              </w:rPr>
              <w:t xml:space="preserve">vs 6 weeks for physical claims</w:t>
            </w:r>
          </w:p>
        </w:tc>
        <w:tc>
          <w:tcPr>
            <w:tcW w:type="dxa" w:w="3368"/>
            <w:tcBorders>
              <w:top w:val="none" w:color="FFFFFF" w:sz="0"/>
              <w:left w:val="none" w:color="FFFFFF" w:sz="0"/>
              <w:bottom w:val="none" w:color="FFFFFF" w:sz="0"/>
              <w:right w:val="none" w:color="FFFFFF" w:sz="0"/>
            </w:tcBorders>
            <w:shd w:fill="F1F5F9" w:val="clear"/>
            <w:tcMar>
              <w:top w:type="dxa" w:w="120"/>
              <w:left w:type="dxa" w:w="160"/>
              <w:bottom w:type="dxa" w:w="120"/>
              <w:right w:type="dxa" w:w="160"/>
            </w:tcMar>
          </w:tcPr>
          <w:p>
            <w:pPr>
              <w:spacing w:after="40"/>
            </w:pPr>
            <w:r>
              <w:rPr>
                <w:rFonts w:ascii="Arial" w:cs="Arial" w:eastAsia="Arial" w:hAnsi="Arial"/>
                <w:b/>
                <w:bCs/>
                <w:color w:val="1B6B93"/>
                <w:sz w:val="32"/>
                <w:szCs w:val="32"/>
              </w:rPr>
              <w:t xml:space="preserve">2–3×</w:t>
            </w:r>
          </w:p>
          <w:p>
            <w:pPr>
              <w:spacing w:after="20"/>
            </w:pPr>
            <w:r>
              <w:rPr>
                <w:rFonts w:ascii="Arial" w:cs="Arial" w:eastAsia="Arial" w:hAnsi="Arial"/>
                <w:b/>
                <w:bCs/>
                <w:color w:val="1E293B"/>
                <w:sz w:val="16"/>
                <w:szCs w:val="16"/>
              </w:rPr>
              <w:t xml:space="preserve">Hidden productivity loss</w:t>
            </w:r>
          </w:p>
          <w:p>
            <w:r>
              <w:rPr>
                <w:rFonts w:ascii="Arial" w:cs="Arial" w:eastAsia="Arial" w:hAnsi="Arial"/>
                <w:i/>
                <w:iCs/>
                <w:color w:val="475569"/>
                <w:sz w:val="15"/>
                <w:szCs w:val="15"/>
              </w:rPr>
              <w:t xml:space="preserve">Presenteeism exceeds absenteeism cost</w:t>
            </w:r>
          </w:p>
        </w:tc>
      </w:tr>
    </w:tbl>
    <w:p>
      <w:pPr>
        <w:spacing w:after="200" w:before="40"/>
      </w:pPr>
      <w:r>
        <w:rPr>
          <w:rFonts w:ascii="Arial" w:cs="Arial" w:eastAsia="Arial" w:hAnsi="Arial"/>
          <w:i/>
          <w:iCs/>
          <w:color w:val="94A3B8"/>
          <w:sz w:val="14"/>
          <w:szCs w:val="14"/>
        </w:rPr>
        <w:t xml:space="preserve">Source: Safe Work Australia, Key Workers’ Compensation Statistics (2021–22).</w:t>
      </w:r>
    </w:p>
    <w:p>
      <w:pPr>
        <w:pBdr>
          <w:bottom w:val="single" w:color="F1F5F9" w:sz="2" w:space="4"/>
        </w:pBdr>
        <w:spacing w:after="120"/>
      </w:pPr>
      <w:r>
        <w:rPr>
          <w:rFonts w:ascii="Arial" w:cs="Arial" w:eastAsia="Arial" w:hAnsi="Arial"/>
          <w:b/>
          <w:bCs/>
          <w:color w:val="1E293B"/>
          <w:sz w:val="24"/>
          <w:szCs w:val="24"/>
        </w:rPr>
        <w:t xml:space="preserve">What Prior Work does</w:t>
      </w:r>
    </w:p>
    <w:p>
      <w:pPr>
        <w:spacing w:after="100"/>
      </w:pPr>
      <w:r>
        <w:rPr>
          <w:rFonts w:ascii="Arial" w:cs="Arial" w:eastAsia="Arial" w:hAnsi="Arial"/>
          <w:color w:val="475569"/>
          <w:sz w:val="19"/>
          <w:szCs w:val="19"/>
        </w:rPr>
        <w:t xml:space="preserve">Prior Work is a free psychosocial risk assessment platform inspired by the People at Work research program. It uses Bayesian Network modelling to map how 13 validated psychosocial factors connect to each other and to outcomes like psychological strain and burnout.</w:t>
      </w:r>
    </w:p>
    <w:p>
      <w:pPr>
        <w:spacing w:after="200"/>
      </w:pPr>
      <w:r>
        <w:rPr>
          <w:rFonts w:ascii="Arial" w:cs="Arial" w:eastAsia="Arial" w:hAnsi="Arial"/>
          <w:color w:val="475569"/>
          <w:sz w:val="19"/>
          <w:szCs w:val="19"/>
        </w:rPr>
        <w:t xml:space="preserve">Instead of a list of things that scored badly, you get a ranked set of priorities based on where intervention will have the biggest downstream effect. You can model scenarios (“what happens to burnout if we improve supervisor support?”) and build an action plan grounded in your actual data.</w:t>
      </w:r>
    </w:p>
    <w:p>
      <w:pPr>
        <w:pBdr>
          <w:bottom w:val="single" w:color="F1F5F9" w:sz="2" w:space="4"/>
        </w:pBdr>
        <w:spacing w:after="120"/>
      </w:pPr>
      <w:r>
        <w:rPr>
          <w:rFonts w:ascii="Arial" w:cs="Arial" w:eastAsia="Arial" w:hAnsi="Arial"/>
          <w:b/>
          <w:bCs/>
          <w:color w:val="1E293B"/>
          <w:sz w:val="24"/>
          <w:szCs w:val="24"/>
        </w:rPr>
        <w:t xml:space="preserve">How it works</w:t>
      </w: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560"/>
        <w:gridCol w:w="1700"/>
        <w:gridCol w:w="7846"/>
      </w:tblGrid>
      <w:tr>
        <w:tc>
          <w:tcPr>
            <w:tcW w:type="dxa" w:w="560"/>
            <w:tcBorders>
              <w:top w:val="none" w:color="FFFFFF" w:sz="0"/>
              <w:left w:val="none" w:color="FFFFFF" w:sz="0"/>
              <w:bottom w:val="none" w:color="FFFFFF" w:sz="0"/>
              <w:right w:val="none" w:color="FFFFFF" w:sz="0"/>
            </w:tcBorders>
            <w:tcMar>
              <w:top w:type="dxa" w:w="80"/>
              <w:left w:type="dxa" w:w="0"/>
              <w:bottom w:type="dxa" w:w="80"/>
              <w:right w:type="dxa" w:w="60"/>
            </w:tcMar>
          </w:tcPr>
          <w:p>
            <w:pPr>
              <w:jc w:val="center"/>
            </w:pPr>
            <w:r>
              <w:rPr>
                <w:rFonts w:ascii="Arial" w:cs="Arial" w:eastAsia="Arial" w:hAnsi="Arial"/>
                <w:b/>
                <w:bCs/>
                <w:color w:val="1B6B93"/>
                <w:sz w:val="20"/>
                <w:szCs w:val="20"/>
              </w:rPr>
              <w:t xml:space="preserve">1</w:t>
            </w:r>
          </w:p>
        </w:tc>
        <w:tc>
          <w:tcPr>
            <w:tcW w:type="dxa" w:w="1700"/>
            <w:tcBorders>
              <w:top w:val="none" w:color="FFFFFF" w:sz="0"/>
              <w:left w:val="none" w:color="FFFFFF" w:sz="0"/>
              <w:bottom w:val="none" w:color="FFFFFF" w:sz="0"/>
              <w:right w:val="none" w:color="FFFFFF" w:sz="0"/>
            </w:tcBorders>
            <w:tcMar>
              <w:top w:type="dxa" w:w="80"/>
              <w:left w:type="dxa" w:w="60"/>
              <w:bottom w:type="dxa" w:w="80"/>
              <w:right w:type="dxa" w:w="60"/>
            </w:tcMar>
          </w:tcPr>
          <w:p>
            <w:r>
              <w:rPr>
                <w:rFonts w:ascii="Arial" w:cs="Arial" w:eastAsia="Arial" w:hAnsi="Arial"/>
                <w:b/>
                <w:bCs/>
                <w:color w:val="1E293B"/>
                <w:sz w:val="19"/>
                <w:szCs w:val="19"/>
              </w:rPr>
              <w:t xml:space="preserve">Survey</w:t>
            </w:r>
          </w:p>
        </w:tc>
        <w:tc>
          <w:tcPr>
            <w:tcW w:type="dxa" w:w="7846"/>
            <w:tcBorders>
              <w:top w:val="none" w:color="FFFFFF" w:sz="0"/>
              <w:left w:val="none" w:color="FFFFFF" w:sz="0"/>
              <w:bottom w:val="none" w:color="FFFFFF" w:sz="0"/>
              <w:right w:val="none" w:color="FFFFFF" w:sz="0"/>
            </w:tcBorders>
            <w:tcMar>
              <w:top w:type="dxa" w:w="80"/>
              <w:left w:type="dxa" w:w="60"/>
              <w:bottom w:type="dxa" w:w="80"/>
              <w:right w:type="dxa" w:w="0"/>
            </w:tcMar>
          </w:tcPr>
          <w:p>
            <w:r>
              <w:rPr>
                <w:rFonts w:ascii="Arial" w:cs="Arial" w:eastAsia="Arial" w:hAnsi="Arial"/>
                <w:color w:val="475569"/>
                <w:sz w:val="18"/>
                <w:szCs w:val="18"/>
              </w:rPr>
              <w:t xml:space="preserve">Validated psychosocial risk survey covering 13 evidence-based constructs. ~10 minutes per person, anonymous, online or paper.</w:t>
            </w:r>
          </w:p>
        </w:tc>
      </w:tr>
      <w:tr>
        <w:tc>
          <w:tcPr>
            <w:tcW w:type="dxa" w:w="560"/>
            <w:tcBorders>
              <w:top w:val="none" w:color="FFFFFF" w:sz="0"/>
              <w:left w:val="none" w:color="FFFFFF" w:sz="0"/>
              <w:bottom w:val="none" w:color="FFFFFF" w:sz="0"/>
              <w:right w:val="none" w:color="FFFFFF" w:sz="0"/>
            </w:tcBorders>
            <w:tcMar>
              <w:top w:type="dxa" w:w="80"/>
              <w:left w:type="dxa" w:w="0"/>
              <w:bottom w:type="dxa" w:w="80"/>
              <w:right w:type="dxa" w:w="60"/>
            </w:tcMar>
          </w:tcPr>
          <w:p>
            <w:pPr>
              <w:jc w:val="center"/>
            </w:pPr>
            <w:r>
              <w:rPr>
                <w:rFonts w:ascii="Arial" w:cs="Arial" w:eastAsia="Arial" w:hAnsi="Arial"/>
                <w:b/>
                <w:bCs/>
                <w:color w:val="1B6B93"/>
                <w:sz w:val="20"/>
                <w:szCs w:val="20"/>
              </w:rPr>
              <w:t xml:space="preserve">2</w:t>
            </w:r>
          </w:p>
        </w:tc>
        <w:tc>
          <w:tcPr>
            <w:tcW w:type="dxa" w:w="1700"/>
            <w:tcBorders>
              <w:top w:val="none" w:color="FFFFFF" w:sz="0"/>
              <w:left w:val="none" w:color="FFFFFF" w:sz="0"/>
              <w:bottom w:val="none" w:color="FFFFFF" w:sz="0"/>
              <w:right w:val="none" w:color="FFFFFF" w:sz="0"/>
            </w:tcBorders>
            <w:tcMar>
              <w:top w:type="dxa" w:w="80"/>
              <w:left w:type="dxa" w:w="60"/>
              <w:bottom w:type="dxa" w:w="80"/>
              <w:right w:type="dxa" w:w="60"/>
            </w:tcMar>
          </w:tcPr>
          <w:p>
            <w:r>
              <w:rPr>
                <w:rFonts w:ascii="Arial" w:cs="Arial" w:eastAsia="Arial" w:hAnsi="Arial"/>
                <w:b/>
                <w:bCs/>
                <w:color w:val="1E293B"/>
                <w:sz w:val="19"/>
                <w:szCs w:val="19"/>
              </w:rPr>
              <w:t xml:space="preserve">Analysis</w:t>
            </w:r>
          </w:p>
        </w:tc>
        <w:tc>
          <w:tcPr>
            <w:tcW w:type="dxa" w:w="7846"/>
            <w:tcBorders>
              <w:top w:val="none" w:color="FFFFFF" w:sz="0"/>
              <w:left w:val="none" w:color="FFFFFF" w:sz="0"/>
              <w:bottom w:val="none" w:color="FFFFFF" w:sz="0"/>
              <w:right w:val="none" w:color="FFFFFF" w:sz="0"/>
            </w:tcBorders>
            <w:tcMar>
              <w:top w:type="dxa" w:w="80"/>
              <w:left w:type="dxa" w:w="60"/>
              <w:bottom w:type="dxa" w:w="80"/>
              <w:right w:type="dxa" w:w="0"/>
            </w:tcMar>
          </w:tcPr>
          <w:p>
            <w:r>
              <w:rPr>
                <w:rFonts w:ascii="Arial" w:cs="Arial" w:eastAsia="Arial" w:hAnsi="Arial"/>
                <w:color w:val="475569"/>
                <w:sz w:val="18"/>
                <w:szCs w:val="18"/>
              </w:rPr>
              <w:t xml:space="preserve">Bayesian Network modelling identifies which hazards drive which outcomes — and ranks intervention priorities by downstream impact, not just prevalence.</w:t>
            </w:r>
          </w:p>
        </w:tc>
      </w:tr>
      <w:tr>
        <w:tc>
          <w:tcPr>
            <w:tcW w:type="dxa" w:w="560"/>
            <w:tcBorders>
              <w:top w:val="none" w:color="FFFFFF" w:sz="0"/>
              <w:left w:val="none" w:color="FFFFFF" w:sz="0"/>
              <w:bottom w:val="none" w:color="FFFFFF" w:sz="0"/>
              <w:right w:val="none" w:color="FFFFFF" w:sz="0"/>
            </w:tcBorders>
            <w:tcMar>
              <w:top w:type="dxa" w:w="80"/>
              <w:left w:type="dxa" w:w="0"/>
              <w:bottom w:type="dxa" w:w="80"/>
              <w:right w:type="dxa" w:w="60"/>
            </w:tcMar>
          </w:tcPr>
          <w:p>
            <w:pPr>
              <w:jc w:val="center"/>
            </w:pPr>
            <w:r>
              <w:rPr>
                <w:rFonts w:ascii="Arial" w:cs="Arial" w:eastAsia="Arial" w:hAnsi="Arial"/>
                <w:b/>
                <w:bCs/>
                <w:color w:val="1B6B93"/>
                <w:sz w:val="20"/>
                <w:szCs w:val="20"/>
              </w:rPr>
              <w:t xml:space="preserve">3</w:t>
            </w:r>
          </w:p>
        </w:tc>
        <w:tc>
          <w:tcPr>
            <w:tcW w:type="dxa" w:w="1700"/>
            <w:tcBorders>
              <w:top w:val="none" w:color="FFFFFF" w:sz="0"/>
              <w:left w:val="none" w:color="FFFFFF" w:sz="0"/>
              <w:bottom w:val="none" w:color="FFFFFF" w:sz="0"/>
              <w:right w:val="none" w:color="FFFFFF" w:sz="0"/>
            </w:tcBorders>
            <w:tcMar>
              <w:top w:type="dxa" w:w="80"/>
              <w:left w:type="dxa" w:w="60"/>
              <w:bottom w:type="dxa" w:w="80"/>
              <w:right w:type="dxa" w:w="60"/>
            </w:tcMar>
          </w:tcPr>
          <w:p>
            <w:r>
              <w:rPr>
                <w:rFonts w:ascii="Arial" w:cs="Arial" w:eastAsia="Arial" w:hAnsi="Arial"/>
                <w:b/>
                <w:bCs/>
                <w:color w:val="1E293B"/>
                <w:sz w:val="19"/>
                <w:szCs w:val="19"/>
              </w:rPr>
              <w:t xml:space="preserve">Focus groups</w:t>
            </w:r>
          </w:p>
        </w:tc>
        <w:tc>
          <w:tcPr>
            <w:tcW w:type="dxa" w:w="7846"/>
            <w:tcBorders>
              <w:top w:val="none" w:color="FFFFFF" w:sz="0"/>
              <w:left w:val="none" w:color="FFFFFF" w:sz="0"/>
              <w:bottom w:val="none" w:color="FFFFFF" w:sz="0"/>
              <w:right w:val="none" w:color="FFFFFF" w:sz="0"/>
            </w:tcBorders>
            <w:tcMar>
              <w:top w:type="dxa" w:w="80"/>
              <w:left w:type="dxa" w:w="60"/>
              <w:bottom w:type="dxa" w:w="80"/>
              <w:right w:type="dxa" w:w="0"/>
            </w:tcMar>
          </w:tcPr>
          <w:p>
            <w:r>
              <w:rPr>
                <w:rFonts w:ascii="Arial" w:cs="Arial" w:eastAsia="Arial" w:hAnsi="Arial"/>
                <w:color w:val="475569"/>
                <w:sz w:val="18"/>
                <w:szCs w:val="18"/>
              </w:rPr>
              <w:t xml:space="preserve">Structured sessions with workers to understand what’s behind the numbers. Small groups, independent facilitation, actionable findings.</w:t>
            </w:r>
          </w:p>
        </w:tc>
      </w:tr>
      <w:tr>
        <w:tc>
          <w:tcPr>
            <w:tcW w:type="dxa" w:w="560"/>
            <w:tcBorders>
              <w:top w:val="none" w:color="FFFFFF" w:sz="0"/>
              <w:left w:val="none" w:color="FFFFFF" w:sz="0"/>
              <w:bottom w:val="none" w:color="FFFFFF" w:sz="0"/>
              <w:right w:val="none" w:color="FFFFFF" w:sz="0"/>
            </w:tcBorders>
            <w:tcMar>
              <w:top w:type="dxa" w:w="80"/>
              <w:left w:type="dxa" w:w="0"/>
              <w:bottom w:type="dxa" w:w="80"/>
              <w:right w:type="dxa" w:w="60"/>
            </w:tcMar>
          </w:tcPr>
          <w:p>
            <w:pPr>
              <w:jc w:val="center"/>
            </w:pPr>
            <w:r>
              <w:rPr>
                <w:rFonts w:ascii="Arial" w:cs="Arial" w:eastAsia="Arial" w:hAnsi="Arial"/>
                <w:b/>
                <w:bCs/>
                <w:color w:val="1B6B93"/>
                <w:sz w:val="20"/>
                <w:szCs w:val="20"/>
              </w:rPr>
              <w:t xml:space="preserve">4</w:t>
            </w:r>
          </w:p>
        </w:tc>
        <w:tc>
          <w:tcPr>
            <w:tcW w:type="dxa" w:w="1700"/>
            <w:tcBorders>
              <w:top w:val="none" w:color="FFFFFF" w:sz="0"/>
              <w:left w:val="none" w:color="FFFFFF" w:sz="0"/>
              <w:bottom w:val="none" w:color="FFFFFF" w:sz="0"/>
              <w:right w:val="none" w:color="FFFFFF" w:sz="0"/>
            </w:tcBorders>
            <w:tcMar>
              <w:top w:type="dxa" w:w="80"/>
              <w:left w:type="dxa" w:w="60"/>
              <w:bottom w:type="dxa" w:w="80"/>
              <w:right w:type="dxa" w:w="60"/>
            </w:tcMar>
          </w:tcPr>
          <w:p>
            <w:r>
              <w:rPr>
                <w:rFonts w:ascii="Arial" w:cs="Arial" w:eastAsia="Arial" w:hAnsi="Arial"/>
                <w:b/>
                <w:bCs/>
                <w:color w:val="1E293B"/>
                <w:sz w:val="19"/>
                <w:szCs w:val="19"/>
              </w:rPr>
              <w:t xml:space="preserve">Act &amp; monitor</w:t>
            </w:r>
          </w:p>
        </w:tc>
        <w:tc>
          <w:tcPr>
            <w:tcW w:type="dxa" w:w="7846"/>
            <w:tcBorders>
              <w:top w:val="none" w:color="FFFFFF" w:sz="0"/>
              <w:left w:val="none" w:color="FFFFFF" w:sz="0"/>
              <w:bottom w:val="none" w:color="FFFFFF" w:sz="0"/>
              <w:right w:val="none" w:color="FFFFFF" w:sz="0"/>
            </w:tcBorders>
            <w:tcMar>
              <w:top w:type="dxa" w:w="80"/>
              <w:left w:type="dxa" w:w="60"/>
              <w:bottom w:type="dxa" w:w="80"/>
              <w:right w:type="dxa" w:w="0"/>
            </w:tcMar>
          </w:tcPr>
          <w:p>
            <w:r>
              <w:rPr>
                <w:rFonts w:ascii="Arial" w:cs="Arial" w:eastAsia="Arial" w:hAnsi="Arial"/>
                <w:color w:val="475569"/>
                <w:sz w:val="18"/>
                <w:szCs w:val="18"/>
              </w:rPr>
              <w:t xml:space="preserve">Prioritised action plan using the hierarchy of controls. Named owners, timeframes, 90-day review. Pulse surveys to track change over time.</w:t>
            </w:r>
          </w:p>
        </w:tc>
      </w:tr>
    </w:tbl>
    <w:p>
      <w:r>
        <w:br w:type="page"/>
      </w:r>
    </w:p>
    <w:p>
      <w:pPr>
        <w:pBdr>
          <w:bottom w:val="single" w:color="F1F5F9" w:sz="2" w:space="4"/>
        </w:pBdr>
        <w:spacing w:after="120"/>
      </w:pPr>
      <w:r>
        <w:rPr>
          <w:rFonts w:ascii="Arial" w:cs="Arial" w:eastAsia="Arial" w:hAnsi="Arial"/>
          <w:b/>
          <w:bCs/>
          <w:color w:val="1E293B"/>
          <w:sz w:val="24"/>
          <w:szCs w:val="24"/>
        </w:rPr>
        <w:t xml:space="preserve">What makes it different</w:t>
      </w: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2500"/>
        <w:gridCol w:w="7606"/>
      </w:tblGrid>
      <w:tr>
        <w:tc>
          <w:tcPr>
            <w:tcW w:type="dxa" w:w="2500"/>
            <w:tcBorders>
              <w:top w:val="none" w:color="FFFFFF" w:sz="0"/>
              <w:left w:val="none" w:color="FFFFFF" w:sz="0"/>
              <w:bottom w:val="none" w:color="FFFFFF" w:sz="0"/>
              <w:right w:val="none" w:color="FFFFFF" w:sz="0"/>
            </w:tcBorders>
            <w:shd w:fill="F1F5F9" w:val="clear"/>
            <w:tcMar>
              <w:top w:type="dxa" w:w="100"/>
              <w:left w:type="dxa" w:w="160"/>
              <w:bottom w:type="dxa" w:w="100"/>
              <w:right w:type="dxa" w:w="120"/>
            </w:tcMar>
          </w:tcPr>
          <w:p>
            <w:r>
              <w:rPr>
                <w:rFonts w:ascii="Arial" w:cs="Arial" w:eastAsia="Arial" w:hAnsi="Arial"/>
                <w:b/>
                <w:bCs/>
                <w:color w:val="1B6B93"/>
                <w:sz w:val="18"/>
                <w:szCs w:val="18"/>
              </w:rPr>
              <w:t xml:space="preserve">Prioritised, not just measured</w:t>
            </w:r>
          </w:p>
        </w:tc>
        <w:tc>
          <w:tcPr>
            <w:tcW w:type="dxa" w:w="7606"/>
            <w:tcBorders>
              <w:top w:val="none" w:color="FFFFFF" w:sz="0"/>
              <w:left w:val="none" w:color="FFFFFF" w:sz="0"/>
              <w:bottom w:val="none" w:color="FFFFFF" w:sz="0"/>
              <w:right w:val="none" w:color="FFFFFF" w:sz="0"/>
            </w:tcBorders>
            <w:shd w:fill="F1F5F9" w:val="clear"/>
            <w:tcMar>
              <w:top w:type="dxa" w:w="100"/>
              <w:left w:type="dxa" w:w="120"/>
              <w:bottom w:type="dxa" w:w="100"/>
              <w:right w:type="dxa" w:w="160"/>
            </w:tcMar>
          </w:tcPr>
          <w:p>
            <w:r>
              <w:rPr>
                <w:rFonts w:ascii="Arial" w:cs="Arial" w:eastAsia="Arial" w:hAnsi="Arial"/>
                <w:color w:val="475569"/>
                <w:sz w:val="18"/>
                <w:szCs w:val="18"/>
              </w:rPr>
              <w:t xml:space="preserve">Most surveys tell you what scored badly. Prior Work tells you where action will have the biggest effect — which is often not the same thing.</w:t>
            </w:r>
          </w:p>
        </w:tc>
      </w:tr>
      <w:tr>
        <w:tc>
          <w:tcPr>
            <w:tcW w:type="dxa" w:w="2500"/>
            <w:tcBorders>
              <w:top w:val="none" w:color="FFFFFF" w:sz="0"/>
              <w:left w:val="none" w:color="FFFFFF" w:sz="0"/>
              <w:bottom w:val="none" w:color="FFFFFF" w:sz="0"/>
              <w:right w:val="none" w:color="FFFFFF" w:sz="0"/>
            </w:tcBorders>
            <w:shd w:fill="F1F5F9" w:val="clear"/>
            <w:tcMar>
              <w:top w:type="dxa" w:w="100"/>
              <w:left w:type="dxa" w:w="160"/>
              <w:bottom w:type="dxa" w:w="100"/>
              <w:right w:type="dxa" w:w="120"/>
            </w:tcMar>
          </w:tcPr>
          <w:p>
            <w:r>
              <w:rPr>
                <w:rFonts w:ascii="Arial" w:cs="Arial" w:eastAsia="Arial" w:hAnsi="Arial"/>
                <w:b/>
                <w:bCs/>
                <w:color w:val="1B6B93"/>
                <w:sz w:val="18"/>
                <w:szCs w:val="18"/>
              </w:rPr>
              <w:t xml:space="preserve">Scenario modelling</w:t>
            </w:r>
          </w:p>
        </w:tc>
        <w:tc>
          <w:tcPr>
            <w:tcW w:type="dxa" w:w="7606"/>
            <w:tcBorders>
              <w:top w:val="none" w:color="FFFFFF" w:sz="0"/>
              <w:left w:val="none" w:color="FFFFFF" w:sz="0"/>
              <w:bottom w:val="none" w:color="FFFFFF" w:sz="0"/>
              <w:right w:val="none" w:color="FFFFFF" w:sz="0"/>
            </w:tcBorders>
            <w:shd w:fill="F1F5F9" w:val="clear"/>
            <w:tcMar>
              <w:top w:type="dxa" w:w="100"/>
              <w:left w:type="dxa" w:w="120"/>
              <w:bottom w:type="dxa" w:w="100"/>
              <w:right w:type="dxa" w:w="160"/>
            </w:tcMar>
          </w:tcPr>
          <w:p>
            <w:r>
              <w:rPr>
                <w:rFonts w:ascii="Arial" w:cs="Arial" w:eastAsia="Arial" w:hAnsi="Arial"/>
                <w:color w:val="475569"/>
                <w:sz w:val="18"/>
                <w:szCs w:val="18"/>
              </w:rPr>
              <w:t xml:space="preserve">Leadership can explore “what if” questions: what happens to burnout if we improve role clarity? What’s the expected return of investing in recognition vs workload? Makes the business case concrete.</w:t>
            </w:r>
          </w:p>
        </w:tc>
      </w:tr>
      <w:tr>
        <w:tc>
          <w:tcPr>
            <w:tcW w:type="dxa" w:w="2500"/>
            <w:tcBorders>
              <w:top w:val="none" w:color="FFFFFF" w:sz="0"/>
              <w:left w:val="none" w:color="FFFFFF" w:sz="0"/>
              <w:bottom w:val="none" w:color="FFFFFF" w:sz="0"/>
              <w:right w:val="none" w:color="FFFFFF" w:sz="0"/>
            </w:tcBorders>
            <w:shd w:fill="F1F5F9" w:val="clear"/>
            <w:tcMar>
              <w:top w:type="dxa" w:w="100"/>
              <w:left w:type="dxa" w:w="160"/>
              <w:bottom w:type="dxa" w:w="100"/>
              <w:right w:type="dxa" w:w="120"/>
            </w:tcMar>
          </w:tcPr>
          <w:p>
            <w:r>
              <w:rPr>
                <w:rFonts w:ascii="Arial" w:cs="Arial" w:eastAsia="Arial" w:hAnsi="Arial"/>
                <w:b/>
                <w:bCs/>
                <w:color w:val="1B6B93"/>
                <w:sz w:val="18"/>
                <w:szCs w:val="18"/>
              </w:rPr>
              <w:t xml:space="preserve">Grounded in validated research</w:t>
            </w:r>
          </w:p>
        </w:tc>
        <w:tc>
          <w:tcPr>
            <w:tcW w:type="dxa" w:w="7606"/>
            <w:tcBorders>
              <w:top w:val="none" w:color="FFFFFF" w:sz="0"/>
              <w:left w:val="none" w:color="FFFFFF" w:sz="0"/>
              <w:bottom w:val="none" w:color="FFFFFF" w:sz="0"/>
              <w:right w:val="none" w:color="FFFFFF" w:sz="0"/>
            </w:tcBorders>
            <w:shd w:fill="F1F5F9" w:val="clear"/>
            <w:tcMar>
              <w:top w:type="dxa" w:w="100"/>
              <w:left w:type="dxa" w:w="120"/>
              <w:bottom w:type="dxa" w:w="100"/>
              <w:right w:type="dxa" w:w="160"/>
            </w:tcMar>
          </w:tcPr>
          <w:p>
            <w:r>
              <w:rPr>
                <w:rFonts w:ascii="Arial" w:cs="Arial" w:eastAsia="Arial" w:hAnsi="Arial"/>
                <w:color w:val="475569"/>
                <w:sz w:val="18"/>
                <w:szCs w:val="18"/>
              </w:rPr>
              <w:t xml:space="preserve">Inspired by the People at Work psychosocial risk assessment tool. Aligned with ISO 45003:2021 and the Australian WHS regulatory framework.</w:t>
            </w:r>
          </w:p>
        </w:tc>
      </w:tr>
      <w:tr>
        <w:tc>
          <w:tcPr>
            <w:tcW w:type="dxa" w:w="2500"/>
            <w:tcBorders>
              <w:top w:val="none" w:color="FFFFFF" w:sz="0"/>
              <w:left w:val="none" w:color="FFFFFF" w:sz="0"/>
              <w:bottom w:val="none" w:color="FFFFFF" w:sz="0"/>
              <w:right w:val="none" w:color="FFFFFF" w:sz="0"/>
            </w:tcBorders>
            <w:shd w:fill="F1F5F9" w:val="clear"/>
            <w:tcMar>
              <w:top w:type="dxa" w:w="100"/>
              <w:left w:type="dxa" w:w="160"/>
              <w:bottom w:type="dxa" w:w="100"/>
              <w:right w:type="dxa" w:w="120"/>
            </w:tcMar>
          </w:tcPr>
          <w:p>
            <w:r>
              <w:rPr>
                <w:rFonts w:ascii="Arial" w:cs="Arial" w:eastAsia="Arial" w:hAnsi="Arial"/>
                <w:b/>
                <w:bCs/>
                <w:color w:val="1B6B93"/>
                <w:sz w:val="18"/>
                <w:szCs w:val="18"/>
              </w:rPr>
              <w:t xml:space="preserve">Free to use</w:t>
            </w:r>
          </w:p>
        </w:tc>
        <w:tc>
          <w:tcPr>
            <w:tcW w:type="dxa" w:w="7606"/>
            <w:tcBorders>
              <w:top w:val="none" w:color="FFFFFF" w:sz="0"/>
              <w:left w:val="none" w:color="FFFFFF" w:sz="0"/>
              <w:bottom w:val="none" w:color="FFFFFF" w:sz="0"/>
              <w:right w:val="none" w:color="FFFFFF" w:sz="0"/>
            </w:tcBorders>
            <w:shd w:fill="F1F5F9" w:val="clear"/>
            <w:tcMar>
              <w:top w:type="dxa" w:w="100"/>
              <w:left w:type="dxa" w:w="120"/>
              <w:bottom w:type="dxa" w:w="100"/>
              <w:right w:type="dxa" w:w="160"/>
            </w:tcMar>
          </w:tcPr>
          <w:p>
            <w:r>
              <w:rPr>
                <w:rFonts w:ascii="Arial" w:cs="Arial" w:eastAsia="Arial" w:hAnsi="Arial"/>
                <w:color w:val="475569"/>
                <w:sz w:val="18"/>
                <w:szCs w:val="18"/>
              </w:rPr>
              <w:t xml:space="preserve">The platform is free under a Creative Commons licence (CC BY-NC-SA 4.0). No licence fees, no per-seat costs. You invest in professional time, not software.</w:t>
            </w:r>
          </w:p>
        </w:tc>
      </w:tr>
    </w:tbl>
    <w:p>
      <w:pPr>
        <w:spacing w:after="200"/>
      </w:pPr>
    </w:p>
    <w:p>
      <w:pPr>
        <w:pBdr>
          <w:bottom w:val="single" w:color="F1F5F9" w:sz="2" w:space="4"/>
        </w:pBdr>
        <w:spacing w:after="120"/>
      </w:pPr>
      <w:r>
        <w:rPr>
          <w:rFonts w:ascii="Arial" w:cs="Arial" w:eastAsia="Arial" w:hAnsi="Arial"/>
          <w:b/>
          <w:bCs/>
          <w:color w:val="1E293B"/>
          <w:sz w:val="24"/>
          <w:szCs w:val="24"/>
        </w:rPr>
        <w:t xml:space="preserve">Common questions from leadership</w:t>
      </w: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3200"/>
        <w:gridCol w:w="6906"/>
      </w:tblGrid>
      <w:tr>
        <w:tc>
          <w:tcPr>
            <w:tcW w:type="dxa" w:w="3200"/>
            <w:tcBorders>
              <w:top w:val="none" w:color="FFFFFF" w:sz="0"/>
              <w:left w:val="none" w:color="FFFFFF" w:sz="0"/>
              <w:bottom w:val="none" w:color="FFFFFF" w:sz="0"/>
              <w:right w:val="none" w:color="FFFFFF" w:sz="0"/>
            </w:tcBorders>
            <w:tcMar>
              <w:top w:type="dxa" w:w="80"/>
              <w:left w:type="dxa" w:w="0"/>
              <w:bottom w:type="dxa" w:w="80"/>
              <w:right w:type="dxa" w:w="80"/>
            </w:tcMar>
          </w:tcPr>
          <w:p>
            <w:r>
              <w:rPr>
                <w:rFonts w:ascii="Arial" w:cs="Arial" w:eastAsia="Arial" w:hAnsi="Arial"/>
                <w:i/>
                <w:iCs/>
                <w:color w:val="1E293B"/>
                <w:sz w:val="18"/>
                <w:szCs w:val="18"/>
              </w:rPr>
              <w:t xml:space="preserve">“We already run an engagement survey.”</w:t>
            </w:r>
          </w:p>
        </w:tc>
        <w:tc>
          <w:tcPr>
            <w:tcW w:type="dxa" w:w="6906"/>
            <w:tcBorders>
              <w:top w:val="none" w:color="FFFFFF" w:sz="0"/>
              <w:left w:val="none" w:color="FFFFFF" w:sz="0"/>
              <w:bottom w:val="none" w:color="FFFFFF" w:sz="0"/>
              <w:right w:val="none" w:color="FFFFFF" w:sz="0"/>
            </w:tcBorders>
            <w:tcMar>
              <w:top w:type="dxa" w:w="80"/>
              <w:left w:type="dxa" w:w="80"/>
              <w:bottom w:type="dxa" w:w="80"/>
              <w:right w:type="dxa" w:w="0"/>
            </w:tcMar>
          </w:tcPr>
          <w:p>
            <w:r>
              <w:rPr>
                <w:rFonts w:ascii="Arial" w:cs="Arial" w:eastAsia="Arial" w:hAnsi="Arial"/>
                <w:color w:val="475569"/>
                <w:sz w:val="18"/>
                <w:szCs w:val="18"/>
              </w:rPr>
              <w:t xml:space="preserve">Engagement surveys measure satisfaction, not hazards. A high engagement score doesn’t protect you from a claim. The legal duty is to identify and manage specific psychosocial hazards.</w:t>
            </w:r>
          </w:p>
        </w:tc>
      </w:tr>
      <w:tr>
        <w:tc>
          <w:tcPr>
            <w:tcW w:type="dxa" w:w="3200"/>
            <w:tcBorders>
              <w:top w:val="none" w:color="FFFFFF" w:sz="0"/>
              <w:left w:val="none" w:color="FFFFFF" w:sz="0"/>
              <w:bottom w:val="none" w:color="FFFFFF" w:sz="0"/>
              <w:right w:val="none" w:color="FFFFFF" w:sz="0"/>
            </w:tcBorders>
            <w:tcMar>
              <w:top w:type="dxa" w:w="80"/>
              <w:left w:type="dxa" w:w="0"/>
              <w:bottom w:type="dxa" w:w="80"/>
              <w:right w:type="dxa" w:w="80"/>
            </w:tcMar>
          </w:tcPr>
          <w:p>
            <w:r>
              <w:rPr>
                <w:rFonts w:ascii="Arial" w:cs="Arial" w:eastAsia="Arial" w:hAnsi="Arial"/>
                <w:i/>
                <w:iCs/>
                <w:color w:val="1E293B"/>
                <w:sz w:val="18"/>
                <w:szCs w:val="18"/>
              </w:rPr>
              <w:t xml:space="preserve">“Our EAP covers this.”</w:t>
            </w:r>
          </w:p>
        </w:tc>
        <w:tc>
          <w:tcPr>
            <w:tcW w:type="dxa" w:w="6906"/>
            <w:tcBorders>
              <w:top w:val="none" w:color="FFFFFF" w:sz="0"/>
              <w:left w:val="none" w:color="FFFFFF" w:sz="0"/>
              <w:bottom w:val="none" w:color="FFFFFF" w:sz="0"/>
              <w:right w:val="none" w:color="FFFFFF" w:sz="0"/>
            </w:tcBorders>
            <w:tcMar>
              <w:top w:type="dxa" w:w="80"/>
              <w:left w:type="dxa" w:w="80"/>
              <w:bottom w:type="dxa" w:w="80"/>
              <w:right w:type="dxa" w:w="0"/>
            </w:tcMar>
          </w:tcPr>
          <w:p>
            <w:r>
              <w:rPr>
                <w:rFonts w:ascii="Arial" w:cs="Arial" w:eastAsia="Arial" w:hAnsi="Arial"/>
                <w:color w:val="475569"/>
                <w:sz w:val="18"/>
                <w:szCs w:val="18"/>
              </w:rPr>
              <w:t xml:space="preserve">An EAP supports people already affected. It doesn’t change the conditions that produce harm. Regulators treat reliance solely on EAP as insufficient evidence of systematic risk management.</w:t>
            </w:r>
          </w:p>
        </w:tc>
      </w:tr>
      <w:tr>
        <w:tc>
          <w:tcPr>
            <w:tcW w:type="dxa" w:w="3200"/>
            <w:tcBorders>
              <w:top w:val="none" w:color="FFFFFF" w:sz="0"/>
              <w:left w:val="none" w:color="FFFFFF" w:sz="0"/>
              <w:bottom w:val="none" w:color="FFFFFF" w:sz="0"/>
              <w:right w:val="none" w:color="FFFFFF" w:sz="0"/>
            </w:tcBorders>
            <w:tcMar>
              <w:top w:type="dxa" w:w="80"/>
              <w:left w:type="dxa" w:w="0"/>
              <w:bottom w:type="dxa" w:w="80"/>
              <w:right w:type="dxa" w:w="80"/>
            </w:tcMar>
          </w:tcPr>
          <w:p>
            <w:r>
              <w:rPr>
                <w:rFonts w:ascii="Arial" w:cs="Arial" w:eastAsia="Arial" w:hAnsi="Arial"/>
                <w:i/>
                <w:iCs/>
                <w:color w:val="1E293B"/>
                <w:sz w:val="18"/>
                <w:szCs w:val="18"/>
              </w:rPr>
              <w:t xml:space="preserve">“We haven’t had any claims.”</w:t>
            </w:r>
          </w:p>
        </w:tc>
        <w:tc>
          <w:tcPr>
            <w:tcW w:type="dxa" w:w="6906"/>
            <w:tcBorders>
              <w:top w:val="none" w:color="FFFFFF" w:sz="0"/>
              <w:left w:val="none" w:color="FFFFFF" w:sz="0"/>
              <w:bottom w:val="none" w:color="FFFFFF" w:sz="0"/>
              <w:right w:val="none" w:color="FFFFFF" w:sz="0"/>
            </w:tcBorders>
            <w:tcMar>
              <w:top w:type="dxa" w:w="80"/>
              <w:left w:type="dxa" w:w="80"/>
              <w:bottom w:type="dxa" w:w="80"/>
              <w:right w:type="dxa" w:w="0"/>
            </w:tcMar>
          </w:tcPr>
          <w:p>
            <w:r>
              <w:rPr>
                <w:rFonts w:ascii="Arial" w:cs="Arial" w:eastAsia="Arial" w:hAnsi="Arial"/>
                <w:color w:val="475569"/>
                <w:sz w:val="18"/>
                <w:szCs w:val="18"/>
              </w:rPr>
              <w:t xml:space="preserve">Absence of claims is not evidence of low risk. Workers often resign rather than claim. The question is whether you can demonstrate you took steps to identify and manage hazards before harm occurred.</w:t>
            </w:r>
          </w:p>
        </w:tc>
      </w:tr>
    </w:tbl>
    <w:p>
      <w:pPr>
        <w:spacing w:after="200"/>
      </w:pPr>
    </w:p>
    <w:p>
      <w:pPr>
        <w:pBdr>
          <w:bottom w:val="single" w:color="F1F5F9" w:sz="2" w:space="4"/>
        </w:pBdr>
        <w:spacing w:after="120"/>
      </w:pPr>
      <w:r>
        <w:rPr>
          <w:rFonts w:ascii="Arial" w:cs="Arial" w:eastAsia="Arial" w:hAnsi="Arial"/>
          <w:b/>
          <w:bCs/>
          <w:color w:val="1E293B"/>
          <w:sz w:val="24"/>
          <w:szCs w:val="24"/>
        </w:rPr>
        <w:t xml:space="preserve">The bottom line</w:t>
      </w:r>
    </w:p>
    <w:tbl>
      <w:tblPr>
        <w:tblW w:type="dxa" w:w="10106"/>
        <w:tblBorders>
          <w:top w:val="single" w:color="auto" w:sz="4"/>
          <w:left w:val="single" w:color="auto" w:sz="4"/>
          <w:bottom w:val="single" w:color="auto" w:sz="4"/>
          <w:right w:val="single" w:color="auto" w:sz="4"/>
          <w:insideH w:val="single" w:color="auto" w:sz="4"/>
          <w:insideV w:val="single" w:color="auto" w:sz="4"/>
        </w:tblBorders>
      </w:tblPr>
      <w:tblGrid>
        <w:gridCol w:w="10106"/>
      </w:tblGrid>
      <w:tr>
        <w:tc>
          <w:tcPr>
            <w:tcW w:type="dxa" w:w="10106"/>
            <w:tcBorders>
              <w:top w:val="none" w:color="FFFFFF" w:sz="0"/>
              <w:left w:val="single" w:color="1B6B93" w:sz="12"/>
              <w:bottom w:val="none" w:color="FFFFFF" w:sz="0"/>
              <w:right w:val="none" w:color="FFFFFF" w:sz="0"/>
            </w:tcBorders>
            <w:shd w:fill="EBF5FA" w:val="clear"/>
            <w:tcMar>
              <w:top w:type="dxa" w:w="160"/>
              <w:left w:type="dxa" w:w="240"/>
              <w:bottom w:type="dxa" w:w="160"/>
              <w:right w:type="dxa" w:w="240"/>
            </w:tcMar>
          </w:tcPr>
          <w:p>
            <w:r>
              <w:rPr>
                <w:rFonts w:ascii="Arial" w:cs="Arial" w:eastAsia="Arial" w:hAnsi="Arial"/>
                <w:b/>
                <w:bCs/>
                <w:color w:val="1B6B93"/>
                <w:sz w:val="21"/>
                <w:szCs w:val="21"/>
              </w:rPr>
              <w:t xml:space="preserve">Prior Work gives you the methodology. The analysis is free. The hardest part is deciding to start.</w:t>
            </w:r>
          </w:p>
        </w:tc>
      </w:tr>
    </w:tbl>
    <w:p>
      <w:pPr>
        <w:spacing w:after="200"/>
      </w:pPr>
    </w:p>
    <w:p>
      <w:pPr>
        <w:spacing w:after="80"/>
      </w:pPr>
      <w:r>
        <w:rPr>
          <w:rFonts w:ascii="Arial" w:cs="Arial" w:eastAsia="Arial" w:hAnsi="Arial"/>
          <w:b/>
          <w:bCs/>
          <w:color w:val="1E293B"/>
          <w:sz w:val="22"/>
          <w:szCs w:val="22"/>
        </w:rPr>
        <w:t xml:space="preserve">Get started</w:t>
      </w:r>
    </w:p>
    <w:p>
      <w:pPr>
        <w:spacing w:after="40"/>
      </w:pPr>
      <w:r>
        <w:rPr>
          <w:rFonts w:ascii="Arial" w:cs="Arial" w:eastAsia="Arial" w:hAnsi="Arial"/>
          <w:color w:val="475569"/>
          <w:sz w:val="19"/>
          <w:szCs w:val="19"/>
        </w:rPr>
        <w:t xml:space="preserve">Visit </w:t>
      </w:r>
      <w:hyperlink w:history="1" r:id="rIdug-d4bee_tchyh_tfju2a">
        <w:r>
          <w:rPr>
            <w:rStyle w:val="Hyperlink"/>
            <w:rFonts w:ascii="Arial" w:cs="Arial" w:eastAsia="Arial" w:hAnsi="Arial"/>
            <w:sz w:val="19"/>
            <w:szCs w:val="19"/>
          </w:rPr>
          <w:t xml:space="preserve">priorwork.au</w:t>
        </w:r>
      </w:hyperlink>
      <w:r>
        <w:rPr>
          <w:rFonts w:ascii="Arial" w:cs="Arial" w:eastAsia="Arial" w:hAnsi="Arial"/>
          <w:color w:val="475569"/>
          <w:sz w:val="19"/>
          <w:szCs w:val="19"/>
        </w:rPr>
        <w:t xml:space="preserve"> today to explore what a systematic approach looks like.</w:t>
      </w:r>
    </w:p>
    <w:p>
      <w:pPr>
        <w:spacing w:after="60"/>
      </w:pPr>
      <w:r>
        <w:rPr>
          <w:rFonts w:ascii="Arial" w:cs="Arial" w:eastAsia="Arial" w:hAnsi="Arial"/>
          <w:color w:val="475569"/>
          <w:sz w:val="19"/>
          <w:szCs w:val="19"/>
        </w:rPr>
        <w:t xml:space="preserve">We guide you step-by-step to build a systematic psychosocial risk management strategy — from making the case to leadership, through survey design, analysis, focus groups, and action planning.</w:t>
      </w:r>
    </w:p>
    <w:p>
      <w:pPr>
        <w:spacing w:after="80"/>
      </w:pPr>
    </w:p>
    <w:p>
      <w:r>
        <w:rPr>
          <w:rFonts w:ascii="Arial" w:cs="Arial" w:eastAsia="Arial" w:hAnsi="Arial"/>
          <w:i/>
          <w:iCs/>
          <w:color w:val="94A3B8"/>
          <w:sz w:val="14"/>
          <w:szCs w:val="14"/>
        </w:rPr>
        <w:t xml:space="preserve">Prior Work is not affiliated with any regulatory body. Licensed under CC BY-NC-SA 4.0.</w:t>
      </w:r>
    </w:p>
    <w:sectPr>
      <w:headerReference w:type="default" r:id="rId7"/>
      <w:footerReference w:type="default" r:id="rId8"/>
      <w:pgSz w:w="11906" w:h="16838"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F1F5F9" w:sz="2" w:space="4"/>
      </w:pBdr>
      <w:tabs>
        <w:tab w:val="right" w:pos="9026"/>
      </w:tabs>
    </w:pPr>
    <w:r>
      <w:rPr>
        <w:rFonts w:ascii="Arial" w:cs="Arial" w:eastAsia="Arial" w:hAnsi="Arial"/>
        <w:color w:val="94A3B8"/>
        <w:sz w:val="14"/>
        <w:szCs w:val="14"/>
      </w:rPr>
      <w:t xml:space="preserve">Prior Work  ·  Free under CC BY-NC-SA 4.0</w:t>
    </w:r>
    <w:r>
      <w:rPr>
        <w:rFonts w:ascii="Arial" w:cs="Arial" w:eastAsia="Arial" w:hAnsi="Arial"/>
        <w:color w:val="94A3B8"/>
        <w:sz w:val="14"/>
        <w:szCs w:val="14"/>
      </w:rPr>
      <w:t xml:space="preserve">	Page </w:t>
    </w:r>
    <w:r>
      <w:rPr>
        <w:rFonts w:ascii="Arial" w:cs="Arial" w:eastAsia="Arial" w:hAnsi="Arial"/>
        <w:color w:val="94A3B8"/>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6B93" w:sz="4" w:space="4"/>
      </w:pBdr>
      <w:spacing w:after="0"/>
    </w:pPr>
    <w:r>
      <w:rPr>
        <w:rFonts w:ascii="Arial" w:cs="Arial" w:eastAsia="Arial" w:hAnsi="Arial"/>
        <w:b/>
        <w:bCs/>
        <w:color w:val="1B6B93"/>
        <w:sz w:val="18"/>
        <w:szCs w:val="18"/>
      </w:rPr>
      <w:t xml:space="preserve">Prior Work</w:t>
    </w:r>
    <w:r>
      <w:rPr>
        <w:rFonts w:ascii="Arial" w:cs="Arial" w:eastAsia="Arial" w:hAnsi="Arial"/>
        <w:color w:val="94A3B8"/>
        <w:sz w:val="16"/>
        <w:szCs w:val="16"/>
      </w:rPr>
      <w:t xml:space="preserve">   |   priorwork.au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475569"/>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ug-d4bee_tchyh_tfju2a" Type="http://schemas.openxmlformats.org/officeDocument/2006/relationships/hyperlink" Target="https://priorwork.au"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2026-04-16T13:56:03.856Z</dcterms:created>
  <dcterms:modified xsi:type="dcterms:W3CDTF">2026-04-16T13:56:03.857Z</dcterms:modified>
</cp:coreProperties>
</file>

<file path=docProps/custom.xml><?xml version="1.0" encoding="utf-8"?>
<Properties xmlns="http://schemas.openxmlformats.org/officeDocument/2006/custom-properties" xmlns:vt="http://schemas.openxmlformats.org/officeDocument/2006/docPropsVTypes"/>
</file>