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E3A5F"/>
          <w:sz w:val="22"/>
          <w:szCs w:val="22"/>
        </w:rPr>
        <w:t xml:space="preserve">Prior Work</w:t>
      </w:r>
    </w:p>
    <w:p>
      <w:pPr>
        <w:pBdr>
          <w:bottom w:val="single" w:color="1E3A5F" w:sz="6" w:space="4"/>
        </w:pBdr>
        <w:spacing w:after="240"/>
      </w:pPr>
      <w:r>
        <w:rPr>
          <w:b/>
          <w:bCs/>
          <w:sz w:val="36"/>
          <w:szCs w:val="36"/>
        </w:rPr>
        <w:t xml:space="preserve">Leadership briefing — Psychosocial risk management</w:t>
      </w:r>
    </w:p>
    <w:p>
      <w:pPr>
        <w:spacing w:after="320"/>
      </w:pPr>
      <w:r>
        <w:rPr>
          <w:color w:val="666666"/>
          <w:sz w:val="20"/>
          <w:szCs w:val="20"/>
        </w:rPr>
        <w:t xml:space="preserve">Prepared: </w:t>
      </w:r>
      <w:r>
        <w:rPr>
          <w:sz w:val="20"/>
          <w:szCs w:val="20"/>
        </w:rPr>
        <w:t xml:space="preserve">April 2026</w:t>
      </w:r>
      <w:r>
        <w:rPr>
          <w:color w:val="666666"/>
          <w:sz w:val="20"/>
          <w:szCs w:val="20"/>
        </w:rPr>
        <w:t xml:space="preserve">    •    Prepared by: </w:t>
      </w:r>
      <w:r>
        <w:rPr>
          <w:sz w:val="20"/>
          <w:szCs w:val="20"/>
        </w:rPr>
        <w:t xml:space="preserve">[your name / role]</w:t>
      </w:r>
      <w:r>
        <w:rPr>
          <w:color w:val="666666"/>
          <w:sz w:val="20"/>
          <w:szCs w:val="20"/>
        </w:rPr>
        <w:t xml:space="preserve">    •    For: </w:t>
      </w:r>
      <w:r>
        <w:rPr>
          <w:sz w:val="20"/>
          <w:szCs w:val="20"/>
        </w:rPr>
        <w:t xml:space="preserve">[executive team / board / CEO]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3A5F" w:sz="4"/>
              <w:left w:val="single" w:color="1E3A5F" w:sz="24"/>
              <w:bottom w:val="single" w:color="1E3A5F" w:sz="4"/>
              <w:right w:val="single" w:color="1E3A5F" w:sz="4"/>
            </w:tcBorders>
            <w:shd w:fill="F3F6FA" w:val="clear"/>
            <w:tcMar>
              <w:top w:type="dxa" w:w="180"/>
              <w:left w:type="dxa" w:w="240"/>
              <w:bottom w:type="dxa" w:w="180"/>
              <w:right w:type="dxa" w:w="240"/>
            </w:tcMar>
          </w:tcPr>
          <w:p>
            <w:pPr>
              <w:spacing w:after="80"/>
            </w:pPr>
            <w:r>
              <w:rPr>
                <w:b/>
                <w:bCs/>
                <w:sz w:val="22"/>
                <w:szCs w:val="22"/>
              </w:rPr>
              <w:t xml:space="preserve">What you are being asked to approve</w:t>
            </w:r>
          </w:p>
          <w:p>
            <w:pPr>
              <w:spacing w:after="0"/>
            </w:pPr>
            <w:r>
              <w:rPr>
                <w:sz w:val="22"/>
                <w:szCs w:val="22"/>
              </w:rPr>
              <w:t xml:space="preserve">A single cycle of psychosocial risk assessment across the organisation using Prior Work, over approximately 12 weeks, followed by a quarterly pulse cadence. The three asks from leadership are (i) a named executive sponsor, (ii) a visible endorsement at launch, and (iii) approximately twenty minutes of worker time, taken once during work hours. The platform itself is free. The output is a defensible psychosocial risk register, an ordered action plan, and an ongoing monitoring package.</w:t>
            </w:r>
          </w:p>
        </w:tc>
      </w:tr>
    </w:tbl>
    <w:p>
      <w:pPr>
        <w:spacing w:after="120"/>
      </w:pPr>
    </w:p>
    <w:p>
      <w:pPr>
        <w:pStyle w:val="Heading1"/>
        <w:spacing w:after="160" w:before="320"/>
      </w:pPr>
      <w:r>
        <w:t xml:space="preserve">1. Why this is being raised now</w:t>
      </w:r>
    </w:p>
    <w:p>
      <w:pPr>
        <w:spacing w:after="120"/>
      </w:pPr>
      <w:r>
        <w:t xml:space="preserve">Since 1 April 2023, Regulation 55A–D of the Model Work Health and Safety Regulations 2011 has made psychosocial risk a first-class component of every PCBU's primary duty of care. The Safe Work Australia Model Code of Practice: Managing Psychosocial Hazards at Work, and the state-level variants enforced by SafeWork NSW, WorkSafe Victoria, Workplace Health and Safety Queensland, and the other state regulators, set out the risk-management process expected of employers. In summary: identify psychosocial hazards, assess the risk they present, control the risks so far as is reasonably practicable, and review those controls on an ongoing basis — in consultation with workers.</w:t>
      </w:r>
    </w:p>
    <w:p>
      <w:pPr>
        <w:spacing w:after="120"/>
      </w:pPr>
      <w:r>
        <w:t xml:space="preserve">The regulator's expectation is not a one-off survey. It is a documented, repeating process. An organisation that cannot evidence a current assessment, a controlled risk register, and a review cadence is exposed on two fronts: regulatory (improvement notices, prosecution in egregious cases, and — as of the most recent amendments — industrial manslaughter provisions in several states) and civil (personal injury and workers' compensation matters, where the absence of a defensible process is increasingly treated as probative).</w:t>
      </w:r>
    </w:p>
    <w:p>
      <w:pPr>
        <w:pStyle w:val="Heading1"/>
        <w:spacing w:after="160" w:before="320"/>
      </w:pPr>
      <w:r>
        <w:t xml:space="preserve">2. The cost of not acting</w:t>
      </w:r>
    </w:p>
    <w:p>
      <w:pPr>
        <w:spacing w:after="120"/>
      </w:pPr>
      <w:r>
        <w:t xml:space="preserve">The economic case is well-documented in the national data. Safe Work Australia's published workers' compensation statistics establish three benchmarks that are worth putting in front of any leadership team considering whether to 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Indicator</w:t>
            </w:r>
          </w:p>
        </w:tc>
        <w:tc>
          <w:tcPr>
            <w:tcW w:type="dxa" w:w="676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Mental-stress claims, Australian average</w:t>
            </w:r>
          </w:p>
        </w:tc>
      </w:tr>
      <w:tr>
        <w:tc>
          <w:tcPr>
            <w:tcW w:type="dxa" w:w="2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Average claim cost</w:t>
            </w:r>
          </w:p>
        </w:tc>
        <w:tc>
          <w:tcPr>
            <w:tcW w:type="dxa" w:w="67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Approximately $55,000 per accepted claim — roughly three times the average cost of a physical-injury claim.</w:t>
            </w:r>
          </w:p>
        </w:tc>
      </w:tr>
      <w:tr>
        <w:tc>
          <w:tcPr>
            <w:tcW w:type="dxa" w:w="2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Average time off work</w:t>
            </w:r>
          </w:p>
        </w:tc>
        <w:tc>
          <w:tcPr>
            <w:tcW w:type="dxa" w:w="67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Approximately 33 working weeks — roughly four times the average time off for physical-injury claims.</w:t>
            </w:r>
          </w:p>
        </w:tc>
      </w:tr>
      <w:tr>
        <w:tc>
          <w:tcPr>
            <w:tcW w:type="dxa" w:w="2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Presenteeism multiplier</w:t>
            </w:r>
          </w:p>
        </w:tc>
        <w:tc>
          <w:tcPr>
            <w:tcW w:type="dxa" w:w="67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Estimated at two to three times the direct claims cost again, from workers attending while unwell and producing degraded output. Not captured in claims data but routinely modelled in economic impact studies.</w:t>
            </w:r>
          </w:p>
        </w:tc>
      </w:tr>
    </w:tbl>
    <w:p>
      <w:pPr>
        <w:spacing w:after="120"/>
      </w:pPr>
    </w:p>
    <w:p>
      <w:pPr>
        <w:spacing w:after="120"/>
      </w:pPr>
      <w:r>
        <w:t xml:space="preserve">These figures are the downside. The upside is that the single most effective intervention identified in the meta-analytic literature — participatory redesign of job demands — is not primarily a budget item. It is a time and process item. Acting well does not require a large capital commitment. It requires that the organisation knows which factors to act on, and in what order.</w:t>
      </w:r>
    </w:p>
    <w:p>
      <w:pPr>
        <w:pStyle w:val="Heading1"/>
        <w:spacing w:after="160" w:before="320"/>
      </w:pPr>
      <w:r>
        <w:t xml:space="preserve">3. What Prior Work is</w:t>
      </w:r>
    </w:p>
    <w:p>
      <w:pPr>
        <w:spacing w:after="120"/>
      </w:pPr>
      <w:r>
        <w:t xml:space="preserve">Prior Work is a free, locally installable platform that runs the full psychosocial risk-management cycle for an Australian workplace. It covers survey design, data collection, subscale scoring, statistical modelling, action planning, and ongoing monitoring — all inside a single application that runs on your own servers. Worker responses do not leave your infrastructure.</w:t>
      </w:r>
    </w:p>
    <w:p>
      <w:pPr>
        <w:spacing w:after="120"/>
      </w:pPr>
      <w:r>
        <w:t xml:space="preserve">The measurement layer is built on the Job Demands–Resources (JD–R) model, the empirically dominant framework in occupational health psychology for the last two decades. Outputs map back to the Safe Work Australia Code of Practice hazard categories where regulatory reporting requires it, but the analysis itself is anchored to the underlying science rather than to a legal taxonomy.</w:t>
      </w:r>
    </w:p>
    <w:p>
      <w:pPr>
        <w:pStyle w:val="Heading1"/>
        <w:spacing w:after="160" w:before="320"/>
      </w:pPr>
      <w:r>
        <w:t xml:space="preserve">4. How the process works</w:t>
      </w:r>
    </w:p>
    <w:p>
      <w:pPr>
        <w:spacing w:after="120"/>
      </w:pPr>
      <w:r>
        <w:t xml:space="preserve">The full cycle runs over roughly twelve weeks from approval to action plan. The process is designed to be run by an internal WHS lead, a people-and-culture team, or a consultant, without external licences or recurring fees.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960"/>
      </w:tblGrid>
      <w:tr>
        <w:trPr>
          <w:tblHeader/>
        </w:trPr>
        <w:tc>
          <w:tcPr>
            <w:tcW w:type="dxa" w:w="60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w:t>
            </w:r>
          </w:p>
        </w:tc>
        <w:tc>
          <w:tcPr>
            <w:tcW w:type="dxa" w:w="180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Step</w:t>
            </w:r>
          </w:p>
        </w:tc>
        <w:tc>
          <w:tcPr>
            <w:tcW w:type="dxa" w:w="696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What happens</w:t>
            </w:r>
          </w:p>
        </w:tc>
      </w:tr>
      <w:tr>
        <w:tc>
          <w:tcPr>
            <w:tcW w:type="dxa" w:w="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1</w:t>
            </w:r>
          </w:p>
        </w:tc>
        <w:tc>
          <w:tcPr>
            <w:tcW w:type="dxa" w:w="1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Catalogue</w:t>
            </w:r>
          </w:p>
        </w:tc>
        <w:tc>
          <w:tcPr>
            <w:tcW w:type="dxa" w:w="69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Confirm scope. Leadership reviews the 20-construct catalogue and approves the measurement plan.</w:t>
            </w:r>
          </w:p>
        </w:tc>
      </w:tr>
      <w:tr>
        <w:tc>
          <w:tcPr>
            <w:tcW w:type="dxa" w:w="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2</w:t>
            </w:r>
          </w:p>
        </w:tc>
        <w:tc>
          <w:tcPr>
            <w:tcW w:type="dxa" w:w="1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Survey</w:t>
            </w:r>
          </w:p>
        </w:tc>
        <w:tc>
          <w:tcPr>
            <w:tcW w:type="dxa" w:w="69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Approximately 20-minute online survey, administered once, during work hours. Responses are anonymous at the subscale level; identifying data is never stored alongside responses.</w:t>
            </w:r>
          </w:p>
        </w:tc>
      </w:tr>
      <w:tr>
        <w:tc>
          <w:tcPr>
            <w:tcW w:type="dxa" w:w="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3</w:t>
            </w:r>
          </w:p>
        </w:tc>
        <w:tc>
          <w:tcPr>
            <w:tcW w:type="dxa" w:w="1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Workspace</w:t>
            </w:r>
          </w:p>
        </w:tc>
        <w:tc>
          <w:tcPr>
            <w:tcW w:type="dxa" w:w="69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Prior Work ingests the data, computes subscale scores, and fits a Bayesian network model to the workforce.</w:t>
            </w:r>
          </w:p>
        </w:tc>
      </w:tr>
      <w:tr>
        <w:tc>
          <w:tcPr>
            <w:tcW w:type="dxa" w:w="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4</w:t>
            </w:r>
          </w:p>
        </w:tc>
        <w:tc>
          <w:tcPr>
            <w:tcW w:type="dxa" w:w="1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Report</w:t>
            </w:r>
          </w:p>
        </w:tc>
        <w:tc>
          <w:tcPr>
            <w:tcW w:type="dxa" w:w="69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Organisation-level risk register produced, mapped to the Code of Practice hazard categories. Findings are reviewed by the executive sponsor before circulation.</w:t>
            </w:r>
          </w:p>
        </w:tc>
      </w:tr>
      <w:tr>
        <w:tc>
          <w:tcPr>
            <w:tcW w:type="dxa" w:w="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5</w:t>
            </w:r>
          </w:p>
        </w:tc>
        <w:tc>
          <w:tcPr>
            <w:tcW w:type="dxa" w:w="1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Focus groups</w:t>
            </w:r>
          </w:p>
        </w:tc>
        <w:tc>
          <w:tcPr>
            <w:tcW w:type="dxa" w:w="69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Short, structured focus groups test the quantitative findings and surface contextual detail. Typically three to five sessions of one hour.</w:t>
            </w:r>
          </w:p>
        </w:tc>
      </w:tr>
      <w:tr>
        <w:tc>
          <w:tcPr>
            <w:tcW w:type="dxa" w:w="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6</w:t>
            </w:r>
          </w:p>
        </w:tc>
        <w:tc>
          <w:tcPr>
            <w:tcW w:type="dxa" w:w="1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Action planning</w:t>
            </w:r>
          </w:p>
        </w:tc>
        <w:tc>
          <w:tcPr>
            <w:tcW w:type="dxa" w:w="69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Interventions are selected from the embedded evidence library, ordered by modelled impact on outcomes. Owners and deadlines are assigned.</w:t>
            </w:r>
          </w:p>
        </w:tc>
      </w:tr>
      <w:tr>
        <w:tc>
          <w:tcPr>
            <w:tcW w:type="dxa" w:w="6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7</w:t>
            </w:r>
          </w:p>
        </w:tc>
        <w:tc>
          <w:tcPr>
            <w:tcW w:type="dxa" w:w="1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Track &amp; monitor</w:t>
            </w:r>
          </w:p>
        </w:tc>
        <w:tc>
          <w:tcPr>
            <w:tcW w:type="dxa" w:w="69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Quarterly pulse survey against the factors being actioned. Re-run the full catalogue annually or when material change occurs.</w:t>
            </w:r>
          </w:p>
        </w:tc>
      </w:tr>
    </w:tbl>
    <w:p>
      <w:pPr>
        <w:spacing w:after="120"/>
      </w:pPr>
    </w:p>
    <w:p>
      <w:pPr>
        <w:pStyle w:val="Heading1"/>
        <w:spacing w:after="160" w:before="320"/>
      </w:pPr>
      <w:r>
        <w:t xml:space="preserve">5. Deliverables</w:t>
      </w:r>
    </w:p>
    <w:p>
      <w:pPr>
        <w:pStyle w:val="ListParagraph"/>
        <w:numPr>
          <w:ilvl w:val="0"/>
          <w:numId w:val="2"/>
        </w:numPr>
        <w:spacing w:after="80"/>
      </w:pPr>
      <w:r>
        <w:t xml:space="preserve">A de-identified, subscale-scored dataset covering the 20 constructs listed in section 7.</w:t>
      </w:r>
    </w:p>
    <w:p>
      <w:pPr>
        <w:pStyle w:val="ListParagraph"/>
        <w:numPr>
          <w:ilvl w:val="0"/>
          <w:numId w:val="2"/>
        </w:numPr>
        <w:spacing w:after="80"/>
      </w:pPr>
      <w:r>
        <w:t xml:space="preserve">A written psychosocial risk register, mapped to the Safe Work Australia Code of Practice hazard categories, suitable for regulator-facing documentation.</w:t>
      </w:r>
    </w:p>
    <w:p>
      <w:pPr>
        <w:pStyle w:val="ListParagraph"/>
        <w:numPr>
          <w:ilvl w:val="0"/>
          <w:numId w:val="2"/>
        </w:numPr>
        <w:spacing w:after="80"/>
      </w:pPr>
      <w:r>
        <w:t xml:space="preserve">A Bayesian network model of the workforce, showing which risk factors drive which outcomes (work engagement, burnout, general psychological distress).</w:t>
      </w:r>
    </w:p>
    <w:p>
      <w:pPr>
        <w:pStyle w:val="ListParagraph"/>
        <w:numPr>
          <w:ilvl w:val="0"/>
          <w:numId w:val="2"/>
        </w:numPr>
        <w:spacing w:after="80"/>
      </w:pPr>
      <w:r>
        <w:t xml:space="preserve">An ordered action plan — interventions ranked by modelled impact on outcomes, not by gut feel or alphabetical hazard order.</w:t>
      </w:r>
    </w:p>
    <w:p>
      <w:pPr>
        <w:pStyle w:val="ListParagraph"/>
        <w:numPr>
          <w:ilvl w:val="0"/>
          <w:numId w:val="2"/>
        </w:numPr>
        <w:spacing w:after="80"/>
      </w:pPr>
      <w:r>
        <w:t xml:space="preserve">A quarterly pulse-survey package (shorter, targeted at the factors being actioned) for ongoing monitoring.</w:t>
      </w:r>
    </w:p>
    <w:p>
      <w:pPr>
        <w:pStyle w:val="ListParagraph"/>
        <w:numPr>
          <w:ilvl w:val="0"/>
          <w:numId w:val="2"/>
        </w:numPr>
        <w:spacing w:after="80"/>
      </w:pPr>
      <w:r>
        <w:t xml:space="preserve">A reusable Bayesian network that can be re-run at any time against new data, so changes in the risk profile are detectable quickly.</w:t>
      </w:r>
    </w:p>
    <w:p>
      <w:pPr>
        <w:pStyle w:val="Heading1"/>
        <w:spacing w:after="160" w:before="320"/>
      </w:pPr>
      <w:r>
        <w:t xml:space="preserve">6. Why this approach rather than the alternatives</w:t>
      </w:r>
    </w:p>
    <w:p>
      <w:pPr>
        <w:spacing w:after="120"/>
      </w:pPr>
      <w:r>
        <w:t xml:space="preserve">A brief comparison against the usual off-the-shelf options is worth including. We are not the cheapest option; we are free. That is not the main reason to use us. The substantive reasons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Differentiator</w:t>
            </w:r>
          </w:p>
        </w:tc>
        <w:tc>
          <w:tcPr>
            <w:tcW w:type="dxa" w:w="656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What it means in practice</w:t>
            </w:r>
          </w:p>
        </w:tc>
      </w:tr>
      <w:tr>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JD–R-anchored measurement</w:t>
            </w:r>
          </w:p>
        </w:tc>
        <w:tc>
          <w:tcPr>
            <w:tcW w:type="dxa" w:w="65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Constructs are drawn from the empirically dominant framework in occupational health psychology, not from a legal hazard list. Code of Practice mapping is derived from the measurement, not the other way around.</w:t>
            </w:r>
          </w:p>
        </w:tc>
      </w:tr>
      <w:tr>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Transparent item bank</w:t>
            </w:r>
          </w:p>
        </w:tc>
        <w:tc>
          <w:tcPr>
            <w:tcW w:type="dxa" w:w="65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Every survey item is defined, sourced, and licensed. Item provenance is published alongside the survey. There is no black-box instrument and no per-seat licence fee.</w:t>
            </w:r>
          </w:p>
        </w:tc>
      </w:tr>
      <w:tr>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Bayesian network analysis</w:t>
            </w:r>
          </w:p>
        </w:tc>
        <w:tc>
          <w:tcPr>
            <w:tcW w:type="dxa" w:w="65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Beyond means and bar charts, Prior Work fits a structural model of the workforce. That model is what produces the ordered action plan — interventions are ranked by their modelled effect on the outcomes that matter (burnout, distress, engagement), not by the surface magnitude of the risk factor.</w:t>
            </w:r>
          </w:p>
        </w:tc>
      </w:tr>
      <w:tr>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b/>
                <w:bCs/>
                <w:sz w:val="20"/>
                <w:szCs w:val="20"/>
              </w:rPr>
              <w:t xml:space="preserve">Free, local, private by design</w:t>
            </w:r>
          </w:p>
        </w:tc>
        <w:tc>
          <w:tcPr>
            <w:tcW w:type="dxa" w:w="65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The platform is free software. It installs on your infrastructure. Worker responses do not leave your network. There is no third-party data-sharing agreement to negotiate and no recurring fee.</w:t>
            </w:r>
          </w:p>
        </w:tc>
      </w:tr>
    </w:tbl>
    <w:p>
      <w:pPr>
        <w:spacing w:after="120"/>
      </w:pPr>
    </w:p>
    <w:p>
      <w:pPr>
        <w:pStyle w:val="Heading1"/>
        <w:spacing w:after="160" w:before="320"/>
      </w:pPr>
      <w:r>
        <w:t xml:space="preserve">7. What we are measuring</w:t>
      </w:r>
    </w:p>
    <w:p>
      <w:pPr>
        <w:spacing w:after="120"/>
      </w:pPr>
      <w:r>
        <w:t xml:space="preserve">The 20 constructs below are the complete measurement catalogue. Full definitions, facets, and item wording are published in the construct catalogue that accompanies this brief. All 20 constructs are measured in the main survey; the quarterly pulse uses a shorter subset targeted at the factors being actioned.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2800"/>
        <w:gridCol w:w="4860"/>
      </w:tblGrid>
      <w:tr>
        <w:trPr>
          <w:tblHeader/>
        </w:trPr>
        <w:tc>
          <w:tcPr>
            <w:tcW w:type="dxa" w:w="170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Class</w:t>
            </w:r>
          </w:p>
        </w:tc>
        <w:tc>
          <w:tcPr>
            <w:tcW w:type="dxa" w:w="280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Construct</w:t>
            </w:r>
          </w:p>
        </w:tc>
        <w:tc>
          <w:tcPr>
            <w:tcW w:type="dxa" w:w="486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What it captures</w:t>
            </w:r>
          </w:p>
        </w:tc>
      </w:tr>
      <w:tr>
        <w:tc>
          <w:tcPr>
            <w:tcW w:type="dxa" w:w="1700"/>
            <w:tcBorders>
              <w:top w:val="single" w:color="B7C3CF" w:sz="4"/>
              <w:left w:val="single" w:color="B7C3CF" w:sz="4"/>
              <w:bottom w:val="single" w:color="B7C3CF" w:sz="4"/>
              <w:right w:val="single" w:color="B7C3CF" w:sz="4"/>
            </w:tcBorders>
            <w:shd w:fill="FDECEC" w:val="clear"/>
            <w:tcMar>
              <w:top w:type="dxa" w:w="100"/>
              <w:left w:type="dxa" w:w="140"/>
              <w:bottom w:type="dxa" w:w="100"/>
              <w:right w:type="dxa" w:w="140"/>
            </w:tcMar>
          </w:tcPr>
          <w:p>
            <w:pPr>
              <w:spacing w:after="0"/>
            </w:pPr>
            <w:r>
              <w:rPr>
                <w:b/>
                <w:bCs/>
                <w:sz w:val="20"/>
                <w:szCs w:val="20"/>
              </w:rPr>
              <w:t xml:space="preserve">Demands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Role overload</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Volume, pace, and time pressure exceeding capacity.</w:t>
            </w:r>
          </w:p>
        </w:tc>
      </w:tr>
      <w:tr>
        <w:tc>
          <w:tcPr>
            <w:tcW w:type="dxa" w:w="1700"/>
            <w:tcBorders>
              <w:top w:val="single" w:color="B7C3CF" w:sz="4"/>
              <w:left w:val="single" w:color="B7C3CF" w:sz="4"/>
              <w:bottom w:val="single" w:color="B7C3CF" w:sz="4"/>
              <w:right w:val="single" w:color="B7C3CF" w:sz="4"/>
            </w:tcBorders>
            <w:shd w:fill="FDECEC" w:val="clear"/>
            <w:tcMar>
              <w:top w:type="dxa" w:w="100"/>
              <w:left w:type="dxa" w:w="140"/>
              <w:bottom w:type="dxa" w:w="100"/>
              <w:right w:type="dxa" w:w="140"/>
            </w:tcMar>
          </w:tcPr>
          <w:p>
            <w:pPr>
              <w:spacing w:after="0"/>
            </w:pPr>
            <w:r>
              <w:rPr>
                <w:b/>
                <w:bCs/>
                <w:sz w:val="20"/>
                <w:szCs w:val="20"/>
              </w:rPr>
              <w:t xml:space="preserve">Demands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Cognitive demand</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Concentration load and complex decision-making.</w:t>
            </w:r>
          </w:p>
        </w:tc>
      </w:tr>
      <w:tr>
        <w:tc>
          <w:tcPr>
            <w:tcW w:type="dxa" w:w="1700"/>
            <w:tcBorders>
              <w:top w:val="single" w:color="B7C3CF" w:sz="4"/>
              <w:left w:val="single" w:color="B7C3CF" w:sz="4"/>
              <w:bottom w:val="single" w:color="B7C3CF" w:sz="4"/>
              <w:right w:val="single" w:color="B7C3CF" w:sz="4"/>
            </w:tcBorders>
            <w:shd w:fill="FDECEC" w:val="clear"/>
            <w:tcMar>
              <w:top w:type="dxa" w:w="100"/>
              <w:left w:type="dxa" w:w="140"/>
              <w:bottom w:type="dxa" w:w="100"/>
              <w:right w:type="dxa" w:w="140"/>
            </w:tcMar>
          </w:tcPr>
          <w:p>
            <w:pPr>
              <w:spacing w:after="0"/>
            </w:pPr>
            <w:r>
              <w:rPr>
                <w:b/>
                <w:bCs/>
                <w:sz w:val="20"/>
                <w:szCs w:val="20"/>
              </w:rPr>
              <w:t xml:space="preserve">Demands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Emotional demand</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Contact with others' distress and required emotion regulation.</w:t>
            </w:r>
          </w:p>
        </w:tc>
      </w:tr>
      <w:tr>
        <w:tc>
          <w:tcPr>
            <w:tcW w:type="dxa" w:w="1700"/>
            <w:tcBorders>
              <w:top w:val="single" w:color="B7C3CF" w:sz="4"/>
              <w:left w:val="single" w:color="B7C3CF" w:sz="4"/>
              <w:bottom w:val="single" w:color="B7C3CF" w:sz="4"/>
              <w:right w:val="single" w:color="B7C3CF" w:sz="4"/>
            </w:tcBorders>
            <w:shd w:fill="FDECEC" w:val="clear"/>
            <w:tcMar>
              <w:top w:type="dxa" w:w="100"/>
              <w:left w:type="dxa" w:w="140"/>
              <w:bottom w:type="dxa" w:w="100"/>
              <w:right w:type="dxa" w:w="140"/>
            </w:tcMar>
          </w:tcPr>
          <w:p>
            <w:pPr>
              <w:spacing w:after="0"/>
            </w:pPr>
            <w:r>
              <w:rPr>
                <w:b/>
                <w:bCs/>
                <w:sz w:val="20"/>
                <w:szCs w:val="20"/>
              </w:rPr>
              <w:t xml:space="preserve">Demands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Role ambiguity</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Uncertainty about expectations, priorities, and success criteria.</w:t>
            </w:r>
          </w:p>
        </w:tc>
      </w:tr>
      <w:tr>
        <w:tc>
          <w:tcPr>
            <w:tcW w:type="dxa" w:w="1700"/>
            <w:tcBorders>
              <w:top w:val="single" w:color="B7C3CF" w:sz="4"/>
              <w:left w:val="single" w:color="B7C3CF" w:sz="4"/>
              <w:bottom w:val="single" w:color="B7C3CF" w:sz="4"/>
              <w:right w:val="single" w:color="B7C3CF" w:sz="4"/>
            </w:tcBorders>
            <w:shd w:fill="FDECEC" w:val="clear"/>
            <w:tcMar>
              <w:top w:type="dxa" w:w="100"/>
              <w:left w:type="dxa" w:w="140"/>
              <w:bottom w:type="dxa" w:w="100"/>
              <w:right w:type="dxa" w:w="140"/>
            </w:tcMar>
          </w:tcPr>
          <w:p>
            <w:pPr>
              <w:spacing w:after="0"/>
            </w:pPr>
            <w:r>
              <w:rPr>
                <w:b/>
                <w:bCs/>
                <w:sz w:val="20"/>
                <w:szCs w:val="20"/>
              </w:rPr>
              <w:t xml:space="preserve">Demands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Role conflict</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Incompatible or competing expectations within a single role.</w:t>
            </w:r>
          </w:p>
        </w:tc>
      </w:tr>
      <w:tr>
        <w:tc>
          <w:tcPr>
            <w:tcW w:type="dxa" w:w="1700"/>
            <w:tcBorders>
              <w:top w:val="single" w:color="B7C3CF" w:sz="4"/>
              <w:left w:val="single" w:color="B7C3CF" w:sz="4"/>
              <w:bottom w:val="single" w:color="B7C3CF" w:sz="4"/>
              <w:right w:val="single" w:color="B7C3CF" w:sz="4"/>
            </w:tcBorders>
            <w:shd w:fill="FDECEC" w:val="clear"/>
            <w:tcMar>
              <w:top w:type="dxa" w:w="100"/>
              <w:left w:type="dxa" w:w="140"/>
              <w:bottom w:type="dxa" w:w="100"/>
              <w:right w:type="dxa" w:w="140"/>
            </w:tcMar>
          </w:tcPr>
          <w:p>
            <w:pPr>
              <w:spacing w:after="0"/>
            </w:pPr>
            <w:r>
              <w:rPr>
                <w:b/>
                <w:bCs/>
                <w:sz w:val="20"/>
                <w:szCs w:val="20"/>
              </w:rPr>
              <w:t xml:space="preserve">Demands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Work–life conflict</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Work interfering with non-work roles.</w:t>
            </w:r>
          </w:p>
        </w:tc>
      </w:tr>
      <w:tr>
        <w:tc>
          <w:tcPr>
            <w:tcW w:type="dxa" w:w="1700"/>
            <w:tcBorders>
              <w:top w:val="single" w:color="B7C3CF" w:sz="4"/>
              <w:left w:val="single" w:color="B7C3CF" w:sz="4"/>
              <w:bottom w:val="single" w:color="B7C3CF" w:sz="4"/>
              <w:right w:val="single" w:color="B7C3CF" w:sz="4"/>
            </w:tcBorders>
            <w:shd w:fill="FDECEC" w:val="clear"/>
            <w:tcMar>
              <w:top w:type="dxa" w:w="100"/>
              <w:left w:type="dxa" w:w="140"/>
              <w:bottom w:type="dxa" w:w="100"/>
              <w:right w:type="dxa" w:w="140"/>
            </w:tcMar>
          </w:tcPr>
          <w:p>
            <w:pPr>
              <w:spacing w:after="0"/>
            </w:pPr>
            <w:r>
              <w:rPr>
                <w:b/>
                <w:bCs/>
                <w:sz w:val="20"/>
                <w:szCs w:val="20"/>
              </w:rPr>
              <w:t xml:space="preserve">Demands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Job insecurity</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Perceived threat to job continuity or valued job features.</w:t>
            </w:r>
          </w:p>
        </w:tc>
      </w:tr>
      <w:tr>
        <w:tc>
          <w:tcPr>
            <w:tcW w:type="dxa" w:w="1700"/>
            <w:tcBorders>
              <w:top w:val="single" w:color="B7C3CF" w:sz="4"/>
              <w:left w:val="single" w:color="B7C3CF" w:sz="4"/>
              <w:bottom w:val="single" w:color="B7C3CF" w:sz="4"/>
              <w:right w:val="single" w:color="B7C3CF" w:sz="4"/>
            </w:tcBorders>
            <w:shd w:fill="E8F1FB" w:val="clear"/>
            <w:tcMar>
              <w:top w:type="dxa" w:w="100"/>
              <w:left w:type="dxa" w:w="140"/>
              <w:bottom w:type="dxa" w:w="100"/>
              <w:right w:type="dxa" w:w="140"/>
            </w:tcMar>
          </w:tcPr>
          <w:p>
            <w:pPr>
              <w:spacing w:after="0"/>
            </w:pPr>
            <w:r>
              <w:rPr>
                <w:b/>
                <w:bCs/>
                <w:sz w:val="20"/>
                <w:szCs w:val="20"/>
              </w:rPr>
              <w:t xml:space="preserve">Resources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Job control</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Discretion over how, when, and in what order work is done.</w:t>
            </w:r>
          </w:p>
        </w:tc>
      </w:tr>
      <w:tr>
        <w:tc>
          <w:tcPr>
            <w:tcW w:type="dxa" w:w="1700"/>
            <w:tcBorders>
              <w:top w:val="single" w:color="B7C3CF" w:sz="4"/>
              <w:left w:val="single" w:color="B7C3CF" w:sz="4"/>
              <w:bottom w:val="single" w:color="B7C3CF" w:sz="4"/>
              <w:right w:val="single" w:color="B7C3CF" w:sz="4"/>
            </w:tcBorders>
            <w:shd w:fill="E8F1FB" w:val="clear"/>
            <w:tcMar>
              <w:top w:type="dxa" w:w="100"/>
              <w:left w:type="dxa" w:w="140"/>
              <w:bottom w:type="dxa" w:w="100"/>
              <w:right w:type="dxa" w:w="140"/>
            </w:tcMar>
          </w:tcPr>
          <w:p>
            <w:pPr>
              <w:spacing w:after="0"/>
            </w:pPr>
            <w:r>
              <w:rPr>
                <w:b/>
                <w:bCs/>
                <w:sz w:val="20"/>
                <w:szCs w:val="20"/>
              </w:rPr>
              <w:t xml:space="preserve">Resources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Supervisor support</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Instrumental help, feedback, and emotional support from one's manager.</w:t>
            </w:r>
          </w:p>
        </w:tc>
      </w:tr>
      <w:tr>
        <w:tc>
          <w:tcPr>
            <w:tcW w:type="dxa" w:w="1700"/>
            <w:tcBorders>
              <w:top w:val="single" w:color="B7C3CF" w:sz="4"/>
              <w:left w:val="single" w:color="B7C3CF" w:sz="4"/>
              <w:bottom w:val="single" w:color="B7C3CF" w:sz="4"/>
              <w:right w:val="single" w:color="B7C3CF" w:sz="4"/>
            </w:tcBorders>
            <w:shd w:fill="E8F1FB" w:val="clear"/>
            <w:tcMar>
              <w:top w:type="dxa" w:w="100"/>
              <w:left w:type="dxa" w:w="140"/>
              <w:bottom w:type="dxa" w:w="100"/>
              <w:right w:type="dxa" w:w="140"/>
            </w:tcMar>
          </w:tcPr>
          <w:p>
            <w:pPr>
              <w:spacing w:after="0"/>
            </w:pPr>
            <w:r>
              <w:rPr>
                <w:b/>
                <w:bCs/>
                <w:sz w:val="20"/>
                <w:szCs w:val="20"/>
              </w:rPr>
              <w:t xml:space="preserve">Resources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Co-worker support</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Instrumental help, listening, and respect from colleagues.</w:t>
            </w:r>
          </w:p>
        </w:tc>
      </w:tr>
      <w:tr>
        <w:tc>
          <w:tcPr>
            <w:tcW w:type="dxa" w:w="1700"/>
            <w:tcBorders>
              <w:top w:val="single" w:color="B7C3CF" w:sz="4"/>
              <w:left w:val="single" w:color="B7C3CF" w:sz="4"/>
              <w:bottom w:val="single" w:color="B7C3CF" w:sz="4"/>
              <w:right w:val="single" w:color="B7C3CF" w:sz="4"/>
            </w:tcBorders>
            <w:shd w:fill="E8F1FB" w:val="clear"/>
            <w:tcMar>
              <w:top w:type="dxa" w:w="100"/>
              <w:left w:type="dxa" w:w="140"/>
              <w:bottom w:type="dxa" w:w="100"/>
              <w:right w:type="dxa" w:w="140"/>
            </w:tcMar>
          </w:tcPr>
          <w:p>
            <w:pPr>
              <w:spacing w:after="0"/>
            </w:pPr>
            <w:r>
              <w:rPr>
                <w:b/>
                <w:bCs/>
                <w:sz w:val="20"/>
                <w:szCs w:val="20"/>
              </w:rPr>
              <w:t xml:space="preserve">Resources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Recognition</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Effort and contribution being noticed and acknowledged.</w:t>
            </w:r>
          </w:p>
        </w:tc>
      </w:tr>
      <w:tr>
        <w:tc>
          <w:tcPr>
            <w:tcW w:type="dxa" w:w="1700"/>
            <w:tcBorders>
              <w:top w:val="single" w:color="B7C3CF" w:sz="4"/>
              <w:left w:val="single" w:color="B7C3CF" w:sz="4"/>
              <w:bottom w:val="single" w:color="B7C3CF" w:sz="4"/>
              <w:right w:val="single" w:color="B7C3CF" w:sz="4"/>
            </w:tcBorders>
            <w:shd w:fill="E8F1FB" w:val="clear"/>
            <w:tcMar>
              <w:top w:type="dxa" w:w="100"/>
              <w:left w:type="dxa" w:w="140"/>
              <w:bottom w:type="dxa" w:w="100"/>
              <w:right w:type="dxa" w:w="140"/>
            </w:tcMar>
          </w:tcPr>
          <w:p>
            <w:pPr>
              <w:spacing w:after="0"/>
            </w:pPr>
            <w:r>
              <w:rPr>
                <w:b/>
                <w:bCs/>
                <w:sz w:val="20"/>
                <w:szCs w:val="20"/>
              </w:rPr>
              <w:t xml:space="preserve">Resources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Procedural justice</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Fairness of the processes by which decisions are made.</w:t>
            </w:r>
          </w:p>
        </w:tc>
      </w:tr>
      <w:tr>
        <w:tc>
          <w:tcPr>
            <w:tcW w:type="dxa" w:w="1700"/>
            <w:tcBorders>
              <w:top w:val="single" w:color="B7C3CF" w:sz="4"/>
              <w:left w:val="single" w:color="B7C3CF" w:sz="4"/>
              <w:bottom w:val="single" w:color="B7C3CF" w:sz="4"/>
              <w:right w:val="single" w:color="B7C3CF" w:sz="4"/>
            </w:tcBorders>
            <w:shd w:fill="E8F1FB" w:val="clear"/>
            <w:tcMar>
              <w:top w:type="dxa" w:w="100"/>
              <w:left w:type="dxa" w:w="140"/>
              <w:bottom w:type="dxa" w:w="100"/>
              <w:right w:type="dxa" w:w="140"/>
            </w:tcMar>
          </w:tcPr>
          <w:p>
            <w:pPr>
              <w:spacing w:after="0"/>
            </w:pPr>
            <w:r>
              <w:rPr>
                <w:b/>
                <w:bCs/>
                <w:sz w:val="20"/>
                <w:szCs w:val="20"/>
              </w:rPr>
              <w:t xml:space="preserve">Resources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Change consultation</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Information, consultation, and support during organisational change.</w:t>
            </w:r>
          </w:p>
        </w:tc>
      </w:tr>
      <w:tr>
        <w:tc>
          <w:tcPr>
            <w:tcW w:type="dxa" w:w="1700"/>
            <w:tcBorders>
              <w:top w:val="single" w:color="B7C3CF" w:sz="4"/>
              <w:left w:val="single" w:color="B7C3CF" w:sz="4"/>
              <w:bottom w:val="single" w:color="B7C3CF" w:sz="4"/>
              <w:right w:val="single" w:color="B7C3CF" w:sz="4"/>
            </w:tcBorders>
            <w:shd w:fill="E8F1FB" w:val="clear"/>
            <w:tcMar>
              <w:top w:type="dxa" w:w="100"/>
              <w:left w:type="dxa" w:w="140"/>
              <w:bottom w:type="dxa" w:w="100"/>
              <w:right w:type="dxa" w:w="140"/>
            </w:tcMar>
          </w:tcPr>
          <w:p>
            <w:pPr>
              <w:spacing w:after="0"/>
            </w:pPr>
            <w:r>
              <w:rPr>
                <w:b/>
                <w:bCs/>
                <w:sz w:val="20"/>
                <w:szCs w:val="20"/>
              </w:rPr>
              <w:t xml:space="preserve">Resources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Workplace relationships</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Quality of relationships at work; absence of bullying and unmanaged conflict.</w:t>
            </w:r>
          </w:p>
        </w:tc>
      </w:tr>
      <w:tr>
        <w:tc>
          <w:tcPr>
            <w:tcW w:type="dxa" w:w="1700"/>
            <w:tcBorders>
              <w:top w:val="single" w:color="B7C3CF" w:sz="4"/>
              <w:left w:val="single" w:color="B7C3CF" w:sz="4"/>
              <w:bottom w:val="single" w:color="B7C3CF" w:sz="4"/>
              <w:right w:val="single" w:color="B7C3CF" w:sz="4"/>
            </w:tcBorders>
            <w:shd w:fill="EAF6EC" w:val="clear"/>
            <w:tcMar>
              <w:top w:type="dxa" w:w="100"/>
              <w:left w:type="dxa" w:w="140"/>
              <w:bottom w:type="dxa" w:w="100"/>
              <w:right w:type="dxa" w:w="140"/>
            </w:tcMar>
          </w:tcPr>
          <w:p>
            <w:pPr>
              <w:spacing w:after="0"/>
            </w:pPr>
            <w:r>
              <w:rPr>
                <w:b/>
                <w:bCs/>
                <w:sz w:val="20"/>
                <w:szCs w:val="20"/>
              </w:rPr>
              <w:t xml:space="preserve">Growth</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Development &amp; growth</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Learning, skill-building, stretch, and career progression.</w:t>
            </w:r>
          </w:p>
        </w:tc>
      </w:tr>
      <w:tr>
        <w:tc>
          <w:tcPr>
            <w:tcW w:type="dxa" w:w="1700"/>
            <w:tcBorders>
              <w:top w:val="single" w:color="B7C3CF" w:sz="4"/>
              <w:left w:val="single" w:color="B7C3CF" w:sz="4"/>
              <w:bottom w:val="single" w:color="B7C3CF" w:sz="4"/>
              <w:right w:val="single" w:color="B7C3CF" w:sz="4"/>
            </w:tcBorders>
            <w:shd w:fill="EAF6EC" w:val="clear"/>
            <w:tcMar>
              <w:top w:type="dxa" w:w="100"/>
              <w:left w:type="dxa" w:w="140"/>
              <w:bottom w:type="dxa" w:w="100"/>
              <w:right w:type="dxa" w:w="140"/>
            </w:tcMar>
          </w:tcPr>
          <w:p>
            <w:pPr>
              <w:spacing w:after="0"/>
            </w:pPr>
            <w:r>
              <w:rPr>
                <w:b/>
                <w:bCs/>
                <w:sz w:val="20"/>
                <w:szCs w:val="20"/>
              </w:rPr>
              <w:t xml:space="preserve">Growth</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Meaningful work</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Work experienced as purposeful and personally significant.</w:t>
            </w:r>
          </w:p>
        </w:tc>
      </w:tr>
      <w:tr>
        <w:tc>
          <w:tcPr>
            <w:tcW w:type="dxa" w:w="1700"/>
            <w:tcBorders>
              <w:top w:val="single" w:color="B7C3CF" w:sz="4"/>
              <w:left w:val="single" w:color="B7C3CF" w:sz="4"/>
              <w:bottom w:val="single" w:color="B7C3CF" w:sz="4"/>
              <w:right w:val="single" w:color="B7C3CF" w:sz="4"/>
            </w:tcBorders>
            <w:shd w:fill="EAF6EC" w:val="clear"/>
            <w:tcMar>
              <w:top w:type="dxa" w:w="100"/>
              <w:left w:type="dxa" w:w="140"/>
              <w:bottom w:type="dxa" w:w="100"/>
              <w:right w:type="dxa" w:w="140"/>
            </w:tcMar>
          </w:tcPr>
          <w:p>
            <w:pPr>
              <w:spacing w:after="0"/>
            </w:pPr>
            <w:r>
              <w:rPr>
                <w:b/>
                <w:bCs/>
                <w:sz w:val="20"/>
                <w:szCs w:val="20"/>
              </w:rPr>
              <w:t xml:space="preserve">Growth</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Psychological safety</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Team climate safe for raising concerns, admitting error, and disagreeing.</w:t>
            </w:r>
          </w:p>
        </w:tc>
      </w:tr>
      <w:tr>
        <w:tc>
          <w:tcPr>
            <w:tcW w:type="dxa" w:w="1700"/>
            <w:tcBorders>
              <w:top w:val="single" w:color="B7C3CF" w:sz="4"/>
              <w:left w:val="single" w:color="B7C3CF" w:sz="4"/>
              <w:bottom w:val="single" w:color="B7C3CF" w:sz="4"/>
              <w:right w:val="single" w:color="B7C3CF" w:sz="4"/>
            </w:tcBorders>
            <w:shd w:fill="F3EAFA" w:val="clear"/>
            <w:tcMar>
              <w:top w:type="dxa" w:w="100"/>
              <w:left w:type="dxa" w:w="140"/>
              <w:bottom w:type="dxa" w:w="100"/>
              <w:right w:type="dxa" w:w="140"/>
            </w:tcMar>
          </w:tcPr>
          <w:p>
            <w:pPr>
              <w:spacing w:after="0"/>
            </w:pPr>
            <w:r>
              <w:rPr>
                <w:b/>
                <w:bCs/>
                <w:sz w:val="20"/>
                <w:szCs w:val="20"/>
              </w:rPr>
              <w:t xml:space="preserve">Outcomes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Work engagement</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Vigour, dedication, and absorption at work.</w:t>
            </w:r>
          </w:p>
        </w:tc>
      </w:tr>
      <w:tr>
        <w:tc>
          <w:tcPr>
            <w:tcW w:type="dxa" w:w="1700"/>
            <w:tcBorders>
              <w:top w:val="single" w:color="B7C3CF" w:sz="4"/>
              <w:left w:val="single" w:color="B7C3CF" w:sz="4"/>
              <w:bottom w:val="single" w:color="B7C3CF" w:sz="4"/>
              <w:right w:val="single" w:color="B7C3CF" w:sz="4"/>
            </w:tcBorders>
            <w:shd w:fill="F3EAFA" w:val="clear"/>
            <w:tcMar>
              <w:top w:type="dxa" w:w="100"/>
              <w:left w:type="dxa" w:w="140"/>
              <w:bottom w:type="dxa" w:w="100"/>
              <w:right w:type="dxa" w:w="140"/>
            </w:tcMar>
          </w:tcPr>
          <w:p>
            <w:pPr>
              <w:spacing w:after="0"/>
            </w:pPr>
            <w:r>
              <w:rPr>
                <w:b/>
                <w:bCs/>
                <w:sz w:val="20"/>
                <w:szCs w:val="20"/>
              </w:rPr>
              <w:t xml:space="preserve">Outcomes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Burnout</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Emotional exhaustion and disengagement.</w:t>
            </w:r>
          </w:p>
        </w:tc>
      </w:tr>
      <w:tr>
        <w:tc>
          <w:tcPr>
            <w:tcW w:type="dxa" w:w="1700"/>
            <w:tcBorders>
              <w:top w:val="single" w:color="B7C3CF" w:sz="4"/>
              <w:left w:val="single" w:color="B7C3CF" w:sz="4"/>
              <w:bottom w:val="single" w:color="B7C3CF" w:sz="4"/>
              <w:right w:val="single" w:color="B7C3CF" w:sz="4"/>
            </w:tcBorders>
            <w:shd w:fill="F3EAFA" w:val="clear"/>
            <w:tcMar>
              <w:top w:type="dxa" w:w="100"/>
              <w:left w:type="dxa" w:w="140"/>
              <w:bottom w:type="dxa" w:w="100"/>
              <w:right w:type="dxa" w:w="140"/>
            </w:tcMar>
          </w:tcPr>
          <w:p>
            <w:pPr>
              <w:spacing w:after="0"/>
            </w:pPr>
            <w:r>
              <w:rPr>
                <w:b/>
                <w:bCs/>
                <w:sz w:val="20"/>
                <w:szCs w:val="20"/>
              </w:rPr>
              <w:t xml:space="preserve">Outcomes</w:t>
            </w:r>
          </w:p>
        </w:tc>
        <w:tc>
          <w:tcPr>
            <w:tcW w:type="dxa" w:w="28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Psychological distress (K10)</w:t>
            </w:r>
          </w:p>
        </w:tc>
        <w:tc>
          <w:tcPr>
            <w:tcW w:type="dxa" w:w="48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Non-specific recent psychological distress.</w:t>
            </w:r>
          </w:p>
        </w:tc>
      </w:tr>
    </w:tbl>
    <w:p>
      <w:pPr>
        <w:spacing w:after="120"/>
      </w:pPr>
    </w:p>
    <w:p>
      <w:pPr>
        <w:pStyle w:val="Heading1"/>
        <w:spacing w:after="160" w:before="320"/>
      </w:pPr>
      <w:r>
        <w:t xml:space="preserve">8. What we need from leadership</w:t>
      </w:r>
    </w:p>
    <w:p>
      <w:pPr>
        <w:spacing w:after="120"/>
      </w:pPr>
      <w:r>
        <w:rPr>
          <w:b/>
          <w:bCs/>
        </w:rPr>
        <w:t xml:space="preserve">Executive sponsor. </w:t>
      </w:r>
      <w:r>
        <w:t xml:space="preserve">One senior leader named as the visible sponsor of this cycle. The sponsor's role is to sign the launch communication, receive the findings before circulation, and approve the action plan. This is a figurehead role, not an operational one; we do not expect the sponsor to run the process.</w:t>
      </w:r>
    </w:p>
    <w:p>
      <w:pPr>
        <w:spacing w:after="120"/>
      </w:pPr>
      <w:r>
        <w:rPr>
          <w:b/>
          <w:bCs/>
        </w:rPr>
        <w:t xml:space="preserve">Endorsement at launch. </w:t>
      </w:r>
      <w:r>
        <w:t xml:space="preserve">A short note from the sponsor in the organisation's usual all-staff channel, two to three working days before the survey opens. Response rates are driven more by visible leadership endorsement than by any other single factor. A draft is provided in the comms templates.</w:t>
      </w:r>
    </w:p>
    <w:p>
      <w:pPr>
        <w:spacing w:after="120"/>
      </w:pPr>
      <w:r>
        <w:rPr>
          <w:b/>
          <w:bCs/>
        </w:rPr>
        <w:t xml:space="preserve">Worker time. </w:t>
      </w:r>
      <w:r>
        <w:t xml:space="preserve">Approximately twenty minutes per worker, taken once, during work hours. For a 300-person organisation, that is on the order of 100 FTE-hours, one-off. Quarterly pulse surveys run approximately five minutes.</w:t>
      </w:r>
    </w:p>
    <w:p>
      <w:pPr>
        <w:spacing w:after="120"/>
      </w:pPr>
      <w:r>
        <w:rPr>
          <w:b/>
          <w:bCs/>
        </w:rPr>
        <w:t xml:space="preserve">A commitment to act on the findings. </w:t>
      </w:r>
      <w:r>
        <w:t xml:space="preserve">The single fastest way to damage trust with a workforce is to run a survey and then do nothing with the results. The action-planning step is not optional. Leadership is asked to commit, in advance, to selecting and publishing at least the top three interventions identified by the modelled impact ranking.</w:t>
      </w:r>
    </w:p>
    <w:p>
      <w:pPr>
        <w:pStyle w:val="Heading1"/>
        <w:spacing w:after="160" w:before="320"/>
      </w:pPr>
      <w:r>
        <w:t xml:space="preserve">9. Proposed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Week</w:t>
            </w:r>
          </w:p>
        </w:tc>
        <w:tc>
          <w:tcPr>
            <w:tcW w:type="dxa" w:w="7160"/>
            <w:tcBorders>
              <w:top w:val="single" w:color="B7C3CF" w:sz="4"/>
              <w:left w:val="single" w:color="B7C3CF" w:sz="4"/>
              <w:bottom w:val="single" w:color="B7C3CF" w:sz="4"/>
              <w:right w:val="single" w:color="B7C3CF" w:sz="4"/>
            </w:tcBorders>
            <w:shd w:fill="1E3A5F" w:val="clear"/>
            <w:tcMar>
              <w:top w:type="dxa" w:w="100"/>
              <w:left w:type="dxa" w:w="140"/>
              <w:bottom w:type="dxa" w:w="100"/>
              <w:right w:type="dxa" w:w="140"/>
            </w:tcMar>
          </w:tcPr>
          <w:p>
            <w:pPr>
              <w:spacing w:after="0"/>
            </w:pPr>
            <w:r>
              <w:rPr>
                <w:b/>
                <w:bCs/>
                <w:color w:val="FFFFFF"/>
                <w:sz w:val="20"/>
                <w:szCs w:val="20"/>
              </w:rPr>
              <w:t xml:space="preserve">Milestone</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0</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Approval of this brief. Executive sponsor confirmed.</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1–2</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Catalogue reviewed. Pre-launch comms scheduled. Survey link prepared.</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3–4</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Launch note from sponsor. Survey open for two working weeks.</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5–6</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Data ingested. Subscale scoring. Bayesian network fitted. Draft report.</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7–8</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Focus groups (three to five sessions). Findings tested against context.</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9–10</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Action plan drafted. Interventions ordered by modelled impact. Sponsor review.</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11–12</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Action plan published. Owners assigned. Pulse-survey package prepared.</w:t>
            </w:r>
          </w:p>
        </w:tc>
      </w:tr>
      <w:tr>
        <w:tc>
          <w:tcPr>
            <w:tcW w:type="dxa" w:w="220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Ongoing</w:t>
            </w:r>
          </w:p>
        </w:tc>
        <w:tc>
          <w:tcPr>
            <w:tcW w:type="dxa" w:w="7160"/>
            <w:tcBorders>
              <w:top w:val="single" w:color="B7C3CF" w:sz="4"/>
              <w:left w:val="single" w:color="B7C3CF" w:sz="4"/>
              <w:bottom w:val="single" w:color="B7C3CF" w:sz="4"/>
              <w:right w:val="single" w:color="B7C3CF" w:sz="4"/>
            </w:tcBorders>
            <w:tcMar>
              <w:top w:type="dxa" w:w="100"/>
              <w:left w:type="dxa" w:w="140"/>
              <w:bottom w:type="dxa" w:w="100"/>
              <w:right w:type="dxa" w:w="140"/>
            </w:tcMar>
          </w:tcPr>
          <w:p>
            <w:pPr>
              <w:spacing w:after="0"/>
            </w:pPr>
            <w:r>
              <w:rPr>
                <w:sz w:val="20"/>
                <w:szCs w:val="20"/>
              </w:rPr>
              <w:t xml:space="preserve">Quarterly pulse survey against actioned factors. Annual re-run of the full catalogue.</w:t>
            </w:r>
          </w:p>
        </w:tc>
      </w:tr>
    </w:tbl>
    <w:p>
      <w:pPr>
        <w:spacing w:after="160"/>
      </w:pPr>
    </w:p>
    <w:p>
      <w:pPr>
        <w:pStyle w:val="Heading1"/>
        <w:spacing w:after="160" w:before="320"/>
      </w:pPr>
      <w:r>
        <w:t xml:space="preserve">10. Licensing and transparency</w:t>
      </w:r>
    </w:p>
    <w:p>
      <w:pPr>
        <w:spacing w:after="120"/>
      </w:pPr>
      <w:r>
        <w:t xml:space="preserve">Prior Work uses only freely licensed measurement instruments. The UK Health and Safety Executive Management Standards Indicator Tool is reproduced under the Open Government Licence v3.0. The Kessler K10 is in the public domain. Prior Work's bespoke items are released under the Creative Commons Attribution–ShareAlike 4.0 International licence. Full item provenance — citation, wording, facet coverage, and reverse-keying — is published in the construct catalogue.</w:t>
      </w:r>
    </w:p>
    <w:p>
      <w:pPr>
        <w:spacing w:after="120"/>
      </w:pPr>
      <w:r>
        <w:t xml:space="preserve">Prior Work is free and open-source software. There are no per-seat fees, no data-sharing agreements, and no vendor lock-in. The organisation retains full ownership of all data produced, and all modelling is reproducible from the underlying response set.</w:t>
      </w:r>
    </w:p>
    <w:p>
      <w:pPr>
        <w:pStyle w:val="Heading1"/>
        <w:spacing w:after="160" w:before="320"/>
      </w:pPr>
      <w:r>
        <w:t xml:space="preserve">Approval</w:t>
      </w:r>
    </w:p>
    <w:p>
      <w:pPr>
        <w:spacing w:after="360"/>
      </w:pPr>
      <w:r>
        <w:t xml:space="preserve">I approve the cycle described in this brief and confirm the executive sponsor named below.</w:t>
      </w:r>
    </w:p>
    <w:p>
      <w:pPr>
        <w:pBdr>
          <w:bottom w:val="single" w:color="333333" w:sz="6" w:space="1"/>
        </w:pBdr>
        <w:spacing w:after="40"/>
      </w:pPr>
      <w:r>
        <w:t xml:space="preserve"> </w:t>
      </w:r>
    </w:p>
    <w:p>
      <w:pPr>
        <w:spacing w:after="240"/>
      </w:pPr>
      <w:r>
        <w:rPr>
          <w:i/>
          <w:iCs/>
          <w:color w:val="666666"/>
          <w:sz w:val="20"/>
          <w:szCs w:val="20"/>
        </w:rPr>
        <w:t xml:space="preserve">Name, role, date</w:t>
      </w:r>
    </w:p>
    <w:p>
      <w:pPr>
        <w:pBdr>
          <w:bottom w:val="single" w:color="333333" w:sz="6" w:space="1"/>
        </w:pBdr>
        <w:spacing w:after="40"/>
      </w:pPr>
      <w:r>
        <w:t xml:space="preserve"> </w:t>
      </w:r>
    </w:p>
    <w:p>
      <w:pPr>
        <w:spacing w:after="240"/>
      </w:pPr>
      <w:r>
        <w:rPr>
          <w:i/>
          <w:iCs/>
          <w:color w:val="666666"/>
          <w:sz w:val="20"/>
          <w:szCs w:val="20"/>
        </w:rPr>
        <w:t xml:space="preserve">Executive sponsor — name and role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spacing w:after="0"/>
    </w:pPr>
    <w:r>
      <w:rPr>
        <w:color w:val="666666"/>
        <w:sz w:val="18"/>
        <w:szCs w:val="18"/>
      </w:rPr>
      <w:t xml:space="preserve">priorwork.au</w:t>
    </w:r>
    <w:r>
      <w:rPr>
        <w:color w:val="666666"/>
        <w:sz w:val="18"/>
        <w:szCs w:val="18"/>
      </w:rPr>
      <w:t xml:space="preserve">	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0"/>
    </w:pPr>
    <w:r>
      <w:rPr>
        <w:b/>
        <w:bCs/>
        <w:color w:val="1E3A5F"/>
        <w:sz w:val="18"/>
        <w:szCs w:val="18"/>
      </w:rPr>
      <w:t xml:space="preserve">Prior Work</w:t>
    </w:r>
    <w:r>
      <w:rPr>
        <w:color w:val="666666"/>
        <w:sz w:val="18"/>
        <w:szCs w:val="18"/>
      </w:rPr>
      <w:t xml:space="preserve">	Psychosocial risk — leadership briefing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E3A5F"/>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E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Psychosocial risk management — leadership briefing</dc:title>
  <dc:creator>Prior Work</dc:creator>
  <dc:description>Editable briefing template produced by Prior Work for executive/board approval of a psychosocial risk-management cycle.</dc:description>
  <cp:lastModifiedBy>Un-named</cp:lastModifiedBy>
  <cp:revision>1</cp:revision>
  <dcterms:created xsi:type="dcterms:W3CDTF">2026-04-21T10:11:56.597Z</dcterms:created>
  <dcterms:modified xsi:type="dcterms:W3CDTF">2026-04-21T10:11:56.597Z</dcterms:modified>
</cp:coreProperties>
</file>

<file path=docProps/custom.xml><?xml version="1.0" encoding="utf-8"?>
<Properties xmlns="http://schemas.openxmlformats.org/officeDocument/2006/custom-properties" xmlns:vt="http://schemas.openxmlformats.org/officeDocument/2006/docPropsVTypes"/>
</file>